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ПЛЕНУМ ВЫСШЕГО АРБИТРАЖНОГО СУДА РОССИЙСКОЙ ФЕДЕРАЦИИ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br/>
        <w:t>от 23 июля 2009 г. N 64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НЕКОТОРЫХ ВОПРОСАХ ПРАКТИКИ РАССМОТРЕНИЯ СПОРОВ О ПРАВАХ СОБСТВЕННИКОВ ПОМЕЩЕНИЙ НА ОБЩЕЕ ИМУЩЕСТВО ЗДАНИЯ</w:t>
      </w:r>
      <w:bookmarkStart w:id="0" w:name="l1"/>
      <w:bookmarkEnd w:id="0"/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В связи с вопросами, возникшими в судебной практике при разрешении споров о правах собственников объектов недвижимости (помещений) на общее имущество здания или сооружения (далее - здание), в котором расположены эти объекты, Пленум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Высшего</w:t>
      </w:r>
      <w:bookmarkStart w:id="1" w:name="l2"/>
      <w:bookmarkEnd w:id="1"/>
      <w:r>
        <w:rPr>
          <w:rFonts w:ascii="Arial" w:hAnsi="Arial" w:cs="Arial"/>
          <w:color w:val="000000"/>
          <w:sz w:val="20"/>
          <w:szCs w:val="20"/>
        </w:rPr>
        <w:t>Арбитражного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Суда Российской Федерации в соответствии со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anchor="l43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статьей 13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Федерального конституционного закона "Об арбитражных судах в Российской Федерации" постановляет дать арбитражным судам следующие разъяснения.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   1. При рассмотрении споров, связанных с определением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" w:name="l3"/>
      <w:bookmarkEnd w:id="2"/>
      <w:r>
        <w:rPr>
          <w:rFonts w:ascii="Arial" w:hAnsi="Arial" w:cs="Arial"/>
          <w:color w:val="000000"/>
          <w:sz w:val="20"/>
          <w:szCs w:val="20"/>
        </w:rPr>
        <w:t>правового режима общего имущества здания, помещения в котором принадлежат на праве собственности нескольким лицам, судам необходимо исходить из следующего.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Регулирование отношений собственников помещений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" w:name="l4"/>
      <w:bookmarkEnd w:id="3"/>
      <w:r>
        <w:rPr>
          <w:rFonts w:ascii="Arial" w:hAnsi="Arial" w:cs="Arial"/>
          <w:color w:val="000000"/>
          <w:sz w:val="20"/>
          <w:szCs w:val="20"/>
        </w:rPr>
        <w:t>многоквартирном доме, возникающих по поводу общего имущества, предусмотрено статьями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anchor="l1204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289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anchor="l1205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290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Гражданского кодекса Российской Федерации (далее - ГК РФ),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anchor="l241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статьей 36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Жилищного кодекса Российской Федерации. Кроме того, отношения собственников помещений в любых объектах недвижимости, которые созданы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" w:name="l5"/>
      <w:bookmarkEnd w:id="4"/>
      <w:r>
        <w:rPr>
          <w:rFonts w:ascii="Arial" w:hAnsi="Arial" w:cs="Arial"/>
          <w:color w:val="000000"/>
          <w:sz w:val="20"/>
          <w:szCs w:val="20"/>
        </w:rPr>
        <w:t>порядке долевого строительства, прямо урегулированы статьями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anchor="l2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anchor="l308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16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" w:name="l6"/>
      <w:bookmarkEnd w:id="5"/>
      <w:r>
        <w:rPr>
          <w:rFonts w:ascii="Arial" w:hAnsi="Arial" w:cs="Arial"/>
          <w:color w:val="000000"/>
          <w:sz w:val="20"/>
          <w:szCs w:val="20"/>
        </w:rPr>
        <w:br/>
        <w:t>    Отношения собственников помещений, расположенных в нежилом здании, возникающие по поводу общего имущества в таком здании, прямо законом не урегулированы. Поэтому в соответствии 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anchor="l30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пунктом 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статьи 6 ГК РФ к указанным отношениям подлежат применению нормы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" w:name="l7"/>
      <w:bookmarkEnd w:id="6"/>
      <w:r>
        <w:rPr>
          <w:rFonts w:ascii="Arial" w:hAnsi="Arial" w:cs="Arial"/>
          <w:color w:val="000000"/>
          <w:sz w:val="20"/>
          <w:szCs w:val="20"/>
        </w:rPr>
        <w:t>законодательства, регулирующие сходные отношения, в частности статьи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anchor="l1058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249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anchor="l1204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289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anchor="l1205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290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ГК РФ.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В силу изложенного собственнику отдельного помещения в здании во всех случаях принадлежит доля в праве общей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" w:name="l8"/>
      <w:bookmarkEnd w:id="7"/>
      <w:r>
        <w:rPr>
          <w:rFonts w:ascii="Arial" w:hAnsi="Arial" w:cs="Arial"/>
          <w:color w:val="000000"/>
          <w:sz w:val="20"/>
          <w:szCs w:val="20"/>
        </w:rPr>
        <w:t>собственности на общее имущество здания.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   2. При рассмотрении споров судам следует исходить из того, что к общему имуществу здания относятся, в частности, помещения, предназначенные для обслуживания более одного помещения в здании,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" w:name="l9"/>
      <w:bookmarkEnd w:id="8"/>
      <w:r>
        <w:rPr>
          <w:rFonts w:ascii="Arial" w:hAnsi="Arial" w:cs="Arial"/>
          <w:color w:val="000000"/>
          <w:sz w:val="20"/>
          <w:szCs w:val="20"/>
        </w:rPr>
        <w:t>а также лестничные площадки, лестницы, холлы,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здании оборудование (технические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" w:name="l10"/>
      <w:bookmarkEnd w:id="9"/>
      <w:r>
        <w:rPr>
          <w:rFonts w:ascii="Arial" w:hAnsi="Arial" w:cs="Arial"/>
          <w:color w:val="000000"/>
          <w:sz w:val="20"/>
          <w:szCs w:val="20"/>
        </w:rPr>
        <w:t>подвалы), крыши, ограждающие несущие и ненесущие конструкции этого здания, механическое, электрическое, санитарно-техническое и иное оборудование, находящееся за пределами или внутри помещений и обслуживающее более одного помещения.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   3. Право общей долевой собственности на общее имущество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" w:name="l11"/>
      <w:bookmarkEnd w:id="10"/>
      <w:r>
        <w:rPr>
          <w:rFonts w:ascii="Arial" w:hAnsi="Arial" w:cs="Arial"/>
          <w:color w:val="000000"/>
          <w:sz w:val="20"/>
          <w:szCs w:val="20"/>
        </w:rPr>
        <w:t>принадлежит собственникам помещений в здании в силу закона вне зависимости от его регистрации в Едином государственном реестре прав на недвижимое имущество и сделок с ним (далее - реестр).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   4. При рассмотрении споров о размере доли следует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1" w:name="l12"/>
      <w:bookmarkEnd w:id="11"/>
      <w:r>
        <w:rPr>
          <w:rFonts w:ascii="Arial" w:hAnsi="Arial" w:cs="Arial"/>
          <w:color w:val="000000"/>
          <w:sz w:val="20"/>
          <w:szCs w:val="20"/>
        </w:rPr>
        <w:t xml:space="preserve">учитывать,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что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исходя из существа указанных отношений соответствующие доли в праве общей собственности на общее имущество определяются пропорционально площади находящихся в собственности помещений. Судом может быть определен иной размер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2" w:name="l13"/>
      <w:bookmarkEnd w:id="12"/>
      <w:r>
        <w:rPr>
          <w:rFonts w:ascii="Arial" w:hAnsi="Arial" w:cs="Arial"/>
          <w:color w:val="000000"/>
          <w:sz w:val="20"/>
          <w:szCs w:val="20"/>
        </w:rPr>
        <w:t>доли в праве общей собственности на общее имущество, если объем помещения, приходящийся на единицу площади, существенно отличается от аналогичного показателя в иных помещениях в здании.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5. Изменение размера доли собственника помещения в праве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3" w:name="l14"/>
      <w:bookmarkEnd w:id="13"/>
      <w:r>
        <w:rPr>
          <w:rFonts w:ascii="Arial" w:hAnsi="Arial" w:cs="Arial"/>
          <w:color w:val="000000"/>
          <w:sz w:val="20"/>
          <w:szCs w:val="20"/>
        </w:rPr>
        <w:t>общей собственности на общее имущество здания по соглашению всех либо отдельных собственников помещений не допускается.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При переходе права собственности на помещение к новому собственнику одновременно переходит и доля в праве общей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4" w:name="l15"/>
      <w:bookmarkEnd w:id="14"/>
      <w:r>
        <w:rPr>
          <w:rFonts w:ascii="Arial" w:hAnsi="Arial" w:cs="Arial"/>
          <w:color w:val="000000"/>
          <w:sz w:val="20"/>
          <w:szCs w:val="20"/>
        </w:rPr>
        <w:t>собственности на общее имущество здания независимо от того, имеется ли в договоре об отчуждении помещения указание на это.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6. По решению собственников помещений, принимаемом в порядке, предусмотренном статьями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anchor="l278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44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anchor="l314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48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Жилищного кодекса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5" w:name="l16"/>
      <w:bookmarkEnd w:id="15"/>
      <w:r>
        <w:rPr>
          <w:rFonts w:ascii="Arial" w:hAnsi="Arial" w:cs="Arial"/>
          <w:color w:val="000000"/>
          <w:sz w:val="20"/>
          <w:szCs w:val="20"/>
        </w:rPr>
        <w:t>Российской Федерации, может устанавливаться режим использования общего имущества здания, в частности отдельных общих помещений.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   В качестве особенностей режима могут быть установлены: порядок проведения ремонтных работ в помещениях общего пользования, участие собственников помещений в расходах 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6" w:name="l17"/>
      <w:bookmarkEnd w:id="16"/>
      <w:r>
        <w:rPr>
          <w:rFonts w:ascii="Arial" w:hAnsi="Arial" w:cs="Arial"/>
          <w:color w:val="000000"/>
          <w:sz w:val="20"/>
          <w:szCs w:val="20"/>
        </w:rPr>
        <w:t>содержание общего имущества, использование средств, полученных от сдачи общего имущества здания в аренду.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7. По соглашению сособственников общего имущества (собственников помещений в здании) допускается передача отдельных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7" w:name="l18"/>
      <w:bookmarkEnd w:id="17"/>
      <w:r>
        <w:rPr>
          <w:rFonts w:ascii="Arial" w:hAnsi="Arial" w:cs="Arial"/>
          <w:color w:val="000000"/>
          <w:sz w:val="20"/>
          <w:szCs w:val="20"/>
        </w:rPr>
        <w:t>частей здания в пользование. Например, может быть заключен договор пользования несущей стеной или крышей здания для размещения наружной рекламы. Стороной такого договора, предоставляющей имущество в пользование, признаются все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8" w:name="l19"/>
      <w:bookmarkEnd w:id="18"/>
      <w:r>
        <w:rPr>
          <w:rFonts w:ascii="Arial" w:hAnsi="Arial" w:cs="Arial"/>
          <w:color w:val="000000"/>
          <w:sz w:val="20"/>
          <w:szCs w:val="20"/>
        </w:rPr>
        <w:t>сособственники общего имущества здания, которые образуют множественность лиц в соответствии с действующим законодательством.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Лицо, которое использует по договору не являющуюся помещением часть здания, не владеет каким-либо объектом недвижимости и, следовательно, не вправе предъявлять требования,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9" w:name="l20"/>
      <w:bookmarkEnd w:id="19"/>
      <w:r>
        <w:rPr>
          <w:rFonts w:ascii="Arial" w:hAnsi="Arial" w:cs="Arial"/>
          <w:color w:val="000000"/>
          <w:sz w:val="20"/>
          <w:szCs w:val="20"/>
        </w:rPr>
        <w:t>основанные на статьях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anchor="l123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301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anchor="l124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304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8" w:anchor="l1250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305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ГК РФ.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К таким договорам применяются по аналогии положения законодательства о договоре аренды, и они подлежат государственной регистрации применительно 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9" w:anchor="l690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пункту 2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статьи 651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0" w:name="l21"/>
      <w:bookmarkEnd w:id="20"/>
      <w:r>
        <w:rPr>
          <w:rFonts w:ascii="Arial" w:hAnsi="Arial" w:cs="Arial"/>
          <w:color w:val="000000"/>
          <w:sz w:val="20"/>
          <w:szCs w:val="20"/>
        </w:rPr>
        <w:t>ГК РФ. При этом обременение устанавливается на все здание в целом.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   8. Если собственник здания в соответствии со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0" w:anchor="l21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статьей 24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Федерального закона "О государственном кадастре недвижимости" принимает решение о выделении из состава здания одного или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1" w:name="l22"/>
      <w:bookmarkEnd w:id="21"/>
      <w:r>
        <w:rPr>
          <w:rFonts w:ascii="Arial" w:hAnsi="Arial" w:cs="Arial"/>
          <w:color w:val="000000"/>
          <w:sz w:val="20"/>
          <w:szCs w:val="20"/>
        </w:rPr>
        <w:t>нескольких помещений, то при внесении в реестр записей об образовании самостоятельных объектов недвижимости прекращается право собственности на здание в целом ввиду утраты зданием правового режима объекта недвижимости, на который может быть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2" w:name="l23"/>
      <w:bookmarkEnd w:id="22"/>
      <w:r>
        <w:rPr>
          <w:rFonts w:ascii="Arial" w:hAnsi="Arial" w:cs="Arial"/>
          <w:color w:val="000000"/>
          <w:sz w:val="20"/>
          <w:szCs w:val="20"/>
        </w:rPr>
        <w:t>установлено право собственности одного лица, о чем делается соответствующая запись в реестре.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В таком случае право общей долевой собственности на общее имущество здания возникает с момента поступления хотя бы одного из помещений, находящихся в здании, в собственность иного лица.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3" w:name="l24"/>
      <w:bookmarkEnd w:id="23"/>
      <w:r>
        <w:rPr>
          <w:rFonts w:ascii="Arial" w:hAnsi="Arial" w:cs="Arial"/>
          <w:color w:val="000000"/>
          <w:sz w:val="20"/>
          <w:szCs w:val="20"/>
        </w:rPr>
        <w:br/>
        <w:t>    Если собственником всех помещений в здании становится одно лицо, оно вправе, обратившись с заявлением к органу, осуществляющему государственную регистрацию прав, избрать правовой режим здания как единого объекта. В этом случае 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4" w:name="l25"/>
      <w:bookmarkEnd w:id="24"/>
      <w:r>
        <w:rPr>
          <w:rFonts w:ascii="Arial" w:hAnsi="Arial" w:cs="Arial"/>
          <w:color w:val="000000"/>
          <w:sz w:val="20"/>
          <w:szCs w:val="20"/>
        </w:rPr>
        <w:t>момента внесения в реестр соответствующей записи возникает право собственности указанного лица на здание и прекращается его право собственности на отдельные помещения.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   9. В судебном порядке рассматриваются споры о признании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5" w:name="l26"/>
      <w:bookmarkEnd w:id="25"/>
      <w:r>
        <w:rPr>
          <w:rFonts w:ascii="Arial" w:hAnsi="Arial" w:cs="Arial"/>
          <w:color w:val="000000"/>
          <w:sz w:val="20"/>
          <w:szCs w:val="20"/>
        </w:rPr>
        <w:t>права общей долевой собственности на общее имущество здания, в том числе в случаях, когда в реестр внесена запись о праве индивидуальной собственности на указанное имущество.</w:t>
      </w:r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   Если общим имуществом владеют собственники помещений в здании (например, владение общими лестницами, коридорами,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6" w:name="l27"/>
      <w:bookmarkEnd w:id="26"/>
      <w:r>
        <w:rPr>
          <w:rFonts w:ascii="Arial" w:hAnsi="Arial" w:cs="Arial"/>
          <w:color w:val="000000"/>
          <w:sz w:val="20"/>
          <w:szCs w:val="20"/>
        </w:rPr>
        <w:t>холлами, доступ к использованию которых имеют собственники помещений в здании), однако право индивидуальной собственности на общее имущество зарегистрировано в реестре за одним лицом, собственники помещений в данном здании вправе требовать признания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7" w:name="l28"/>
      <w:bookmarkEnd w:id="27"/>
      <w:r>
        <w:rPr>
          <w:rFonts w:ascii="Arial" w:hAnsi="Arial" w:cs="Arial"/>
          <w:color w:val="000000"/>
          <w:sz w:val="20"/>
          <w:szCs w:val="20"/>
        </w:rPr>
        <w:t>за собой права общей долевой собственности на общее имущество. Суд рассматривает это требование как аналогичное требованию собственника об устранении всяких нарушений его права, не соединенных с лишением владения (</w:t>
      </w:r>
      <w:hyperlink r:id="rId21" w:anchor="l124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статья 304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ГК РФ).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8" w:name="l29"/>
      <w:bookmarkEnd w:id="28"/>
    </w:p>
    <w:p w:rsid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Между тем, если лицо, на имя которого в реестр внесена запись о праве индивидуальной собственности на помещение, относящееся к общему имуществу, владеет таким помещением, лишая других собственников доступа в это помещение, собственники иных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9" w:name="l30"/>
      <w:bookmarkEnd w:id="29"/>
      <w:r>
        <w:rPr>
          <w:rFonts w:ascii="Arial" w:hAnsi="Arial" w:cs="Arial"/>
          <w:color w:val="000000"/>
          <w:sz w:val="20"/>
          <w:szCs w:val="20"/>
        </w:rPr>
        <w:t>помещений в данном здании вправе обратиться в суд с иском об истребовании имущества из чужого незаконного владения (</w:t>
      </w:r>
      <w:hyperlink r:id="rId22" w:anchor="l123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статья 301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ГК РФ), соединив его с требованием о признании права общей долевой собственности. На такие требования распространяется общий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0" w:name="l31"/>
      <w:bookmarkEnd w:id="30"/>
      <w:r>
        <w:rPr>
          <w:rFonts w:ascii="Arial" w:hAnsi="Arial" w:cs="Arial"/>
          <w:color w:val="000000"/>
          <w:sz w:val="20"/>
          <w:szCs w:val="20"/>
        </w:rPr>
        <w:t>срок исковой давности (</w:t>
      </w:r>
      <w:hyperlink r:id="rId23" w:anchor="l872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статья 196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ГК РФ).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908B5" w:rsidRP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4908B5" w:rsidRP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b/>
          <w:color w:val="000000"/>
          <w:sz w:val="20"/>
          <w:szCs w:val="20"/>
        </w:rPr>
      </w:pPr>
      <w:r w:rsidRPr="004908B5">
        <w:rPr>
          <w:rFonts w:ascii="Arial" w:hAnsi="Arial" w:cs="Arial"/>
          <w:b/>
          <w:i/>
          <w:iCs/>
          <w:color w:val="000000"/>
          <w:sz w:val="20"/>
          <w:szCs w:val="20"/>
        </w:rPr>
        <w:t>Председатель</w:t>
      </w:r>
      <w:r w:rsidRPr="004908B5">
        <w:rPr>
          <w:rStyle w:val="apple-converted-space"/>
          <w:rFonts w:ascii="Arial" w:hAnsi="Arial" w:cs="Arial"/>
          <w:b/>
          <w:i/>
          <w:iCs/>
          <w:color w:val="000000"/>
          <w:sz w:val="20"/>
          <w:szCs w:val="20"/>
        </w:rPr>
        <w:t> </w:t>
      </w:r>
      <w:r w:rsidRPr="004908B5">
        <w:rPr>
          <w:rFonts w:ascii="Arial" w:hAnsi="Arial" w:cs="Arial"/>
          <w:b/>
          <w:color w:val="000000"/>
          <w:sz w:val="20"/>
          <w:szCs w:val="20"/>
        </w:rPr>
        <w:br/>
      </w:r>
      <w:r w:rsidRPr="004908B5">
        <w:rPr>
          <w:rFonts w:ascii="Arial" w:hAnsi="Arial" w:cs="Arial"/>
          <w:b/>
          <w:i/>
          <w:iCs/>
          <w:color w:val="000000"/>
          <w:sz w:val="20"/>
          <w:szCs w:val="20"/>
        </w:rPr>
        <w:t>Высшего Арбитражного Суда</w:t>
      </w:r>
      <w:r w:rsidRPr="004908B5">
        <w:rPr>
          <w:rStyle w:val="apple-converted-space"/>
          <w:rFonts w:ascii="Arial" w:hAnsi="Arial" w:cs="Arial"/>
          <w:b/>
          <w:i/>
          <w:iCs/>
          <w:color w:val="000000"/>
          <w:sz w:val="20"/>
          <w:szCs w:val="20"/>
        </w:rPr>
        <w:t> </w:t>
      </w:r>
      <w:r w:rsidRPr="004908B5">
        <w:rPr>
          <w:rFonts w:ascii="Arial" w:hAnsi="Arial" w:cs="Arial"/>
          <w:b/>
          <w:color w:val="000000"/>
          <w:sz w:val="20"/>
          <w:szCs w:val="20"/>
        </w:rPr>
        <w:br/>
      </w:r>
      <w:bookmarkStart w:id="31" w:name="_GoBack"/>
      <w:bookmarkEnd w:id="31"/>
      <w:r w:rsidRPr="004908B5">
        <w:rPr>
          <w:rFonts w:ascii="Arial" w:hAnsi="Arial" w:cs="Arial"/>
          <w:b/>
          <w:i/>
          <w:iCs/>
          <w:color w:val="000000"/>
          <w:sz w:val="20"/>
          <w:szCs w:val="20"/>
        </w:rPr>
        <w:t>Российской Федерации</w:t>
      </w:r>
      <w:r w:rsidRPr="004908B5">
        <w:rPr>
          <w:rStyle w:val="apple-converted-space"/>
          <w:rFonts w:ascii="Arial" w:hAnsi="Arial" w:cs="Arial"/>
          <w:b/>
          <w:i/>
          <w:iCs/>
          <w:color w:val="000000"/>
          <w:sz w:val="20"/>
          <w:szCs w:val="20"/>
        </w:rPr>
        <w:t> </w:t>
      </w:r>
      <w:r w:rsidRPr="004908B5">
        <w:rPr>
          <w:rFonts w:ascii="Arial" w:hAnsi="Arial" w:cs="Arial"/>
          <w:b/>
          <w:color w:val="000000"/>
          <w:sz w:val="20"/>
          <w:szCs w:val="20"/>
        </w:rPr>
        <w:br/>
      </w:r>
      <w:r w:rsidRPr="004908B5">
        <w:rPr>
          <w:rFonts w:ascii="Arial" w:hAnsi="Arial" w:cs="Arial"/>
          <w:b/>
          <w:i/>
          <w:iCs/>
          <w:color w:val="000000"/>
          <w:sz w:val="20"/>
          <w:szCs w:val="20"/>
        </w:rPr>
        <w:t>А.А.ИВАНОВ</w:t>
      </w:r>
    </w:p>
    <w:p w:rsidR="004908B5" w:rsidRP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b/>
          <w:color w:val="000000"/>
          <w:sz w:val="20"/>
          <w:szCs w:val="20"/>
        </w:rPr>
      </w:pPr>
      <w:r w:rsidRPr="004908B5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8B5" w:rsidRPr="004908B5" w:rsidRDefault="004908B5" w:rsidP="004908B5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b/>
          <w:color w:val="000000"/>
          <w:sz w:val="20"/>
          <w:szCs w:val="20"/>
        </w:rPr>
      </w:pPr>
      <w:r w:rsidRPr="004908B5">
        <w:rPr>
          <w:rFonts w:ascii="Arial" w:hAnsi="Arial" w:cs="Arial"/>
          <w:b/>
          <w:i/>
          <w:iCs/>
          <w:color w:val="000000"/>
          <w:sz w:val="20"/>
          <w:szCs w:val="20"/>
        </w:rPr>
        <w:t>Секретарь Пленума,</w:t>
      </w:r>
      <w:r w:rsidRPr="004908B5">
        <w:rPr>
          <w:rStyle w:val="apple-converted-space"/>
          <w:rFonts w:ascii="Arial" w:hAnsi="Arial" w:cs="Arial"/>
          <w:b/>
          <w:i/>
          <w:iCs/>
          <w:color w:val="000000"/>
          <w:sz w:val="20"/>
          <w:szCs w:val="20"/>
        </w:rPr>
        <w:t> </w:t>
      </w:r>
      <w:r w:rsidRPr="004908B5">
        <w:rPr>
          <w:rFonts w:ascii="Arial" w:hAnsi="Arial" w:cs="Arial"/>
          <w:b/>
          <w:color w:val="000000"/>
          <w:sz w:val="20"/>
          <w:szCs w:val="20"/>
        </w:rPr>
        <w:br/>
      </w:r>
      <w:r w:rsidRPr="004908B5">
        <w:rPr>
          <w:rFonts w:ascii="Arial" w:hAnsi="Arial" w:cs="Arial"/>
          <w:b/>
          <w:i/>
          <w:iCs/>
          <w:color w:val="000000"/>
          <w:sz w:val="20"/>
          <w:szCs w:val="20"/>
        </w:rPr>
        <w:t>судья Высшего Арбитражного Суда</w:t>
      </w:r>
      <w:r w:rsidRPr="004908B5">
        <w:rPr>
          <w:rStyle w:val="apple-converted-space"/>
          <w:rFonts w:ascii="Arial" w:hAnsi="Arial" w:cs="Arial"/>
          <w:b/>
          <w:i/>
          <w:iCs/>
          <w:color w:val="000000"/>
          <w:sz w:val="20"/>
          <w:szCs w:val="20"/>
        </w:rPr>
        <w:t> </w:t>
      </w:r>
      <w:bookmarkStart w:id="32" w:name="l32"/>
      <w:bookmarkEnd w:id="32"/>
      <w:r w:rsidRPr="004908B5">
        <w:rPr>
          <w:rFonts w:ascii="Arial" w:hAnsi="Arial" w:cs="Arial"/>
          <w:b/>
          <w:color w:val="000000"/>
          <w:sz w:val="20"/>
          <w:szCs w:val="20"/>
        </w:rPr>
        <w:br/>
      </w:r>
      <w:r w:rsidRPr="004908B5">
        <w:rPr>
          <w:rFonts w:ascii="Arial" w:hAnsi="Arial" w:cs="Arial"/>
          <w:b/>
          <w:i/>
          <w:iCs/>
          <w:color w:val="000000"/>
          <w:sz w:val="20"/>
          <w:szCs w:val="20"/>
        </w:rPr>
        <w:t>Российской Федерации</w:t>
      </w:r>
      <w:r w:rsidRPr="004908B5">
        <w:rPr>
          <w:rStyle w:val="apple-converted-space"/>
          <w:rFonts w:ascii="Arial" w:hAnsi="Arial" w:cs="Arial"/>
          <w:b/>
          <w:i/>
          <w:iCs/>
          <w:color w:val="000000"/>
          <w:sz w:val="20"/>
          <w:szCs w:val="20"/>
        </w:rPr>
        <w:t> </w:t>
      </w:r>
      <w:r w:rsidRPr="004908B5">
        <w:rPr>
          <w:rFonts w:ascii="Arial" w:hAnsi="Arial" w:cs="Arial"/>
          <w:b/>
          <w:color w:val="000000"/>
          <w:sz w:val="20"/>
          <w:szCs w:val="20"/>
        </w:rPr>
        <w:br/>
      </w:r>
      <w:r w:rsidRPr="004908B5">
        <w:rPr>
          <w:rFonts w:ascii="Arial" w:hAnsi="Arial" w:cs="Arial"/>
          <w:b/>
          <w:i/>
          <w:iCs/>
          <w:color w:val="000000"/>
          <w:sz w:val="20"/>
          <w:szCs w:val="20"/>
        </w:rPr>
        <w:t>Т.В.ЗАВЬЯЛОВА</w:t>
      </w:r>
    </w:p>
    <w:p w:rsidR="000217EF" w:rsidRDefault="000217EF"/>
    <w:sectPr w:rsidR="000217EF" w:rsidSect="00DF3D0B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B5"/>
    <w:rsid w:val="00010FA7"/>
    <w:rsid w:val="000217EF"/>
    <w:rsid w:val="00097BC1"/>
    <w:rsid w:val="000B6FC6"/>
    <w:rsid w:val="001E2801"/>
    <w:rsid w:val="00212AF0"/>
    <w:rsid w:val="0026606B"/>
    <w:rsid w:val="002B03EC"/>
    <w:rsid w:val="002D70AC"/>
    <w:rsid w:val="00376F65"/>
    <w:rsid w:val="003A0658"/>
    <w:rsid w:val="004771F8"/>
    <w:rsid w:val="004908B5"/>
    <w:rsid w:val="004B29D3"/>
    <w:rsid w:val="004C6707"/>
    <w:rsid w:val="00576566"/>
    <w:rsid w:val="006537D2"/>
    <w:rsid w:val="006C166A"/>
    <w:rsid w:val="007F6D83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B667"/>
  <w15:chartTrackingRefBased/>
  <w15:docId w15:val="{1986FD01-EA74-43D1-8DB3-15B74BA6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2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8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08B5"/>
  </w:style>
  <w:style w:type="character" w:styleId="a4">
    <w:name w:val="Hyperlink"/>
    <w:basedOn w:val="a0"/>
    <w:uiPriority w:val="99"/>
    <w:semiHidden/>
    <w:unhideWhenUsed/>
    <w:rsid w:val="00490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95504?l2" TargetMode="External"/><Relationship Id="rId13" Type="http://schemas.openxmlformats.org/officeDocument/2006/relationships/hyperlink" Target="https://www.referent.ru/1/11677?l1205" TargetMode="External"/><Relationship Id="rId18" Type="http://schemas.openxmlformats.org/officeDocument/2006/relationships/hyperlink" Target="https://www.referent.ru/1/11677?l12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ferent.ru/1/11677?l1249" TargetMode="External"/><Relationship Id="rId7" Type="http://schemas.openxmlformats.org/officeDocument/2006/relationships/hyperlink" Target="https://www.referent.ru/1/88190?l241" TargetMode="External"/><Relationship Id="rId12" Type="http://schemas.openxmlformats.org/officeDocument/2006/relationships/hyperlink" Target="https://www.referent.ru/1/11677?l1204" TargetMode="External"/><Relationship Id="rId17" Type="http://schemas.openxmlformats.org/officeDocument/2006/relationships/hyperlink" Target="https://www.referent.ru/1/11677?l124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referent.ru/1/11677?l1239" TargetMode="External"/><Relationship Id="rId20" Type="http://schemas.openxmlformats.org/officeDocument/2006/relationships/hyperlink" Target="https://www.referent.ru/1/125189?l2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ferent.ru/1/11677?l1205" TargetMode="External"/><Relationship Id="rId11" Type="http://schemas.openxmlformats.org/officeDocument/2006/relationships/hyperlink" Target="https://www.referent.ru/1/11677?l105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eferent.ru/1/11677?l1204" TargetMode="External"/><Relationship Id="rId15" Type="http://schemas.openxmlformats.org/officeDocument/2006/relationships/hyperlink" Target="https://www.referent.ru/1/88190?l314" TargetMode="External"/><Relationship Id="rId23" Type="http://schemas.openxmlformats.org/officeDocument/2006/relationships/hyperlink" Target="https://www.referent.ru/1/11677?l872" TargetMode="External"/><Relationship Id="rId10" Type="http://schemas.openxmlformats.org/officeDocument/2006/relationships/hyperlink" Target="https://www.referent.ru/1/11677?l30" TargetMode="External"/><Relationship Id="rId19" Type="http://schemas.openxmlformats.org/officeDocument/2006/relationships/hyperlink" Target="https://www.referent.ru/1/11682?l690" TargetMode="External"/><Relationship Id="rId4" Type="http://schemas.openxmlformats.org/officeDocument/2006/relationships/hyperlink" Target="https://www.referent.ru/1/58037?l43" TargetMode="External"/><Relationship Id="rId9" Type="http://schemas.openxmlformats.org/officeDocument/2006/relationships/hyperlink" Target="https://www.referent.ru/1/95504?l308" TargetMode="External"/><Relationship Id="rId14" Type="http://schemas.openxmlformats.org/officeDocument/2006/relationships/hyperlink" Target="https://www.referent.ru/1/88190?l278" TargetMode="External"/><Relationship Id="rId22" Type="http://schemas.openxmlformats.org/officeDocument/2006/relationships/hyperlink" Target="https://www.referent.ru/1/11677?l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2016-04-11T09:06:00Z</dcterms:created>
  <dcterms:modified xsi:type="dcterms:W3CDTF">2016-04-11T09:07:00Z</dcterms:modified>
</cp:coreProperties>
</file>