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80" w:rsidRDefault="00206E8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МОСКВЫ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18 октября 2005 г. N </w:t>
      </w:r>
      <w:bookmarkStart w:id="0" w:name="_GoBack"/>
      <w:r>
        <w:rPr>
          <w:rFonts w:ascii="Calibri" w:hAnsi="Calibri" w:cs="Calibri"/>
          <w:b/>
          <w:bCs/>
        </w:rPr>
        <w:t>2046</w:t>
      </w:r>
      <w:bookmarkEnd w:id="0"/>
      <w:r>
        <w:rPr>
          <w:rFonts w:ascii="Calibri" w:hAnsi="Calibri" w:cs="Calibri"/>
          <w:b/>
          <w:bCs/>
        </w:rPr>
        <w:t>-РП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ПРОЕКТИРОВАНИИ И СТРОИТЕЛЬСТВЕ ЖИЛЫХ ДОМОВ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ВОЕННОСЛУЖАЩИХ ВНУТРЕННИХ ВОЙСК МВД РФ ПО АДРЕСАМ: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УЛ. ЛЕНИНСКАЯ СЛОБОДА, ВЛ. 11 И УЛ. ЧЕРТАНОВСКАЯ,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ВЛ. 43 (ЮЖНЫЙ АДМИНИСТРАТИВНЫЙ ОКРУГ ГОРОДА МОСКВЫ)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13.10.2009 N 1087-ПП,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распоряжений Правительства Москвы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17.02.2010 </w:t>
      </w:r>
      <w:hyperlink r:id="rId6" w:history="1">
        <w:r>
          <w:rPr>
            <w:rFonts w:ascii="Calibri" w:hAnsi="Calibri" w:cs="Calibri"/>
            <w:color w:val="0000FF"/>
          </w:rPr>
          <w:t>N 269-РП</w:t>
        </w:r>
      </w:hyperlink>
      <w:r>
        <w:rPr>
          <w:rFonts w:ascii="Calibri" w:hAnsi="Calibri" w:cs="Calibri"/>
        </w:rPr>
        <w:t xml:space="preserve">, от 12.04.2011 </w:t>
      </w:r>
      <w:hyperlink r:id="rId7" w:history="1">
        <w:r>
          <w:rPr>
            <w:rFonts w:ascii="Calibri" w:hAnsi="Calibri" w:cs="Calibri"/>
            <w:color w:val="0000FF"/>
          </w:rPr>
          <w:t>N 272-РП</w:t>
        </w:r>
      </w:hyperlink>
      <w:r>
        <w:rPr>
          <w:rFonts w:ascii="Calibri" w:hAnsi="Calibri" w:cs="Calibri"/>
        </w:rPr>
        <w:t>,</w:t>
      </w:r>
    </w:p>
    <w:p w:rsidR="00206E80" w:rsidRDefault="00206E8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8" w:history="1">
        <w:r>
          <w:rPr>
            <w:rFonts w:ascii="Calibri" w:hAnsi="Calibri" w:cs="Calibri"/>
            <w:color w:val="0000FF"/>
          </w:rPr>
          <w:t>N 946-РП</w:t>
        </w:r>
      </w:hyperlink>
      <w:r>
        <w:rPr>
          <w:rFonts w:ascii="Calibri" w:hAnsi="Calibri" w:cs="Calibri"/>
        </w:rPr>
        <w:t>)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жильем военнослужащих внутренних войск МВД России и в соответствии с </w:t>
      </w:r>
      <w:hyperlink r:id="rId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Москвы от 10 сентября 2004 г. N 1818-РП "О разработке градостроительного обоснования размещения жилых домов для военнослужащих внутренних войск и резервирования за МВД РФ земельных участков по адресам: ул. Ленинская Слобода, вл. 11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(Южный административный округ)":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 xml:space="preserve">1. Принять предложение префектуры Южного административного округа города Москвы и Главного командования внутренних войск Министерства внутренних дел России (далее - ГК ВВ МВД РФ) о проектировании и строительстве жилых домов для военнослужащих внутренних войск общей площадью 95820 кв. м, в том числе по адресу: ул. Ленинская Слобода, вл. 11 общей площадью 48020 кв. м, в том числе общей площадью квартир 29750 кв. м, со встроенно-пристроенными помещениями общей площадью 2630 кв. м (включая площадь детского сада) и подземной автостоянкой на 221 машино-место на земельном участке площадью 1,6 га до 31 марта 2012 г. и по адресу: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общей площадью 47800 кв. м, в том числе общей площадью квартир 29500 кв. м, с нежилыми помещениями общей площадью 2050 кв. м и подземным гаражом на земельном участке площадью 2,04 га до 31 августа 2012 г.</w:t>
      </w:r>
    </w:p>
    <w:p w:rsidR="00206E80" w:rsidRDefault="00206E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Москвы от 06.12.2011 N 946-РП)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Принять к сведению, что функции заказчика-застройщика и инвестора по строительству объектов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осуществляет общество с ограниченной ответственностью "Инжиниринговая компания "СЕРЕБРЯНЫЙ ДВОР" (далее - ООО "ИК "СЕРЕБРЯНЫЙ ДВОР") на основании генерального соглашения от 19 мая 2003 г. между ГК ВВ МВД РФ и ООО "ИК "СЕРЕБРЯНЫЙ ДВОР", заключенного по результатам конкурсов, проведенных в 2002-2003 гг., в соответствии с государственным оборонным заказом по обустройству внутренних войск МВД РФ.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Принять к сведению, что финансирование работ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>, а также снос зданий и вывод гаражей, расположенных на территориях застройки, будут осуществляться в полном объеме за счет средств ООО "ИК "СЕРЕБРЯНЫЙ ДВОР".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Утвердить акты разрешенного использования участка и территории градостроительного объекта от 31 августа 2005 г. N А-0815/01 и от 7 сентября 2005 г. N А-0831/01 (приложения 1, 2 - не приводятся).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Префекту Южного административного округа города Москвы: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 xml:space="preserve">5.1. Представить на подпись первому заместителю Мэра Москвы в Правительстве Москвы Росляку Ю.В. для заключения от имени Правительства Москвы проект инвестиционного контракта на реализацию инвестиционного проекта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на условиях настоящего распоряжения.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Оформить акт о результатах реализации инвестиционного контракта </w:t>
      </w:r>
      <w:hyperlink w:anchor="Par24" w:history="1">
        <w:r>
          <w:rPr>
            <w:rFonts w:ascii="Calibri" w:hAnsi="Calibri" w:cs="Calibri"/>
            <w:color w:val="0000FF"/>
          </w:rPr>
          <w:t>(п. 5.1)</w:t>
        </w:r>
      </w:hyperlink>
      <w:r>
        <w:rPr>
          <w:rFonts w:ascii="Calibri" w:hAnsi="Calibri" w:cs="Calibri"/>
        </w:rPr>
        <w:t xml:space="preserve"> после ввода объекта в эксплуатацию и представить его на подпись первому заместителю Мэра Москвы в Правительстве Москвы Росляку Ю.В.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Осуществить в установленном порядке учетную регистрацию инвестиционного контракта, дополнительных соглашений к нему и акта о результатах реализации инвестиционного контракта в Комитете города Москвы по организации и проведению конкурсов и аукционов в Реестре государственных и инвестиционных контрактов.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Осуществить вывод гаражей, попадающих в зону застройки.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</w:t>
      </w:r>
      <w:hyperlink r:id="rId11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Москвы от 12.04.2011 N 272-РП.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 xml:space="preserve">7. Установить, что после завершения строительства площади объекта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распределяются в соотношении: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По общей жилой площади: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- 70% - в собственность инвестору ООО "ИК "СЕРЕБРЯНЫЙ ДВОР";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- 30% - в собственность города Москвы в лице Департамента жилищной политики и жилищного фонда города Москвы, в том числе: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20% - для обеспечения жильем военнослужащих внутренних войск МВД России;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10% - для решения общегородских социальных задач.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По общей нежилой площади встроенно-пристроенных помещений: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- 60% - в собственность инвестору ООО "ИК "СЕРЕБРЯНЫЙ ДВОР";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- 40% - в собственность города Москвы в лице Департамента имущества города Москвы.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По </w:t>
      </w:r>
      <w:proofErr w:type="spellStart"/>
      <w:r>
        <w:rPr>
          <w:rFonts w:ascii="Calibri" w:hAnsi="Calibri" w:cs="Calibri"/>
        </w:rPr>
        <w:t>машиноместам</w:t>
      </w:r>
      <w:proofErr w:type="spellEnd"/>
      <w:r>
        <w:rPr>
          <w:rFonts w:ascii="Calibri" w:hAnsi="Calibri" w:cs="Calibri"/>
        </w:rPr>
        <w:t xml:space="preserve"> и площадям общего пользования подземных автостоянок и гаража: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- 80% - в собственность ООО "ИК "СЕРЕБРЯНЫЙ ДВОР";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- 20% - в собственность города Москвы в лице Департамента имущества города Москвы;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- 100% площадей помещений сервисных служб - в собственность инвестора.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100% площадей детского сада - в собственность города Москвы.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Принять к сведению, что ООО "ИК "СЕРЕБРЯНЫЙ ДВОР":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Осуществит проектирование и строительство объектов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>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Обеспечит за счет собственных и привлеченных средств финансирование работ по проектированию и строительству в полном объеме.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Разработает и представит проектную документацию на строительство объектов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для согласования в </w:t>
      </w:r>
      <w:proofErr w:type="spellStart"/>
      <w:r>
        <w:rPr>
          <w:rFonts w:ascii="Calibri" w:hAnsi="Calibri" w:cs="Calibri"/>
        </w:rPr>
        <w:t>Москомархитектуру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Мосгосэкспертизу</w:t>
      </w:r>
      <w:proofErr w:type="spellEnd"/>
      <w:r>
        <w:rPr>
          <w:rFonts w:ascii="Calibri" w:hAnsi="Calibri" w:cs="Calibri"/>
        </w:rPr>
        <w:t>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Представит в Департамент земельных ресурсов города Москвы акт разрешенного использования участка территории градостроительного объекта и необходимые документы для оформления земельно-правовых отношений на период проектирования и строительства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>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8.5. В соответствии с решением рабочей группы Комиссии по вопросам сохранения зданий в исторически сложившихся районах г. Москвы (протокол от 28 июня 2005 г. N 11) за счет собственных средств осуществит снос нежилых строений 2, 3, 5 по ул. Ленинская Слобода, д. 11, фрагментарную разборку строения 4 после согласования проектной документации в установленном порядке, вывод гаражей с территории застройки без последующей компенсации.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После оформления акта о результатах реализации инвестиционного контракта в установленном порядке представит пакет документов: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дефис утратил силу. - </w:t>
      </w:r>
      <w:hyperlink r:id="rId1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Москвы от 06.12.2011 N 946-РП;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Департамент имущества города Москвы для регистрации права собственности города на свою долю в Едином государственном реестре прав на недвижимое имущество и сделок с ним.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После завершения строительства объекта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оформит имущественные права </w:t>
      </w:r>
      <w:hyperlink w:anchor="Par29" w:history="1">
        <w:r>
          <w:rPr>
            <w:rFonts w:ascii="Calibri" w:hAnsi="Calibri" w:cs="Calibri"/>
            <w:color w:val="0000FF"/>
          </w:rPr>
          <w:t>(п. 7)</w:t>
        </w:r>
      </w:hyperlink>
      <w:r>
        <w:rPr>
          <w:rFonts w:ascii="Calibri" w:hAnsi="Calibri" w:cs="Calibri"/>
        </w:rPr>
        <w:t xml:space="preserve"> в установленном порядке.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 После оформления имущественных прав на построенный объект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 xml:space="preserve"> оформит земельно-правовые отношения в установленном порядке.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8.9. Передаст в собственность города Москвы объекты инженерного и коммунального назначения, построенные за счет собственных и привлеченных средств,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22 августа 2000 г. N 660 "О порядке приемки объектов инженерного и коммунального назначения в собственность города Москвы".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8.10. Утратил силу. - </w:t>
      </w:r>
      <w:hyperlink r:id="rId14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Москвы от 12.04.2011 N 272-РП.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8.11. Самостоятельно урегулирует взаимоотношения с собственниками нежилых помещений в сносимых строениях </w:t>
      </w:r>
      <w:hyperlink w:anchor="Par48" w:history="1">
        <w:r>
          <w:rPr>
            <w:rFonts w:ascii="Calibri" w:hAnsi="Calibri" w:cs="Calibri"/>
            <w:color w:val="0000FF"/>
          </w:rPr>
          <w:t>(п. 8.5)</w:t>
        </w:r>
      </w:hyperlink>
      <w:r>
        <w:rPr>
          <w:rFonts w:ascii="Calibri" w:hAnsi="Calibri" w:cs="Calibri"/>
        </w:rPr>
        <w:t xml:space="preserve"> в случае их наличия.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Департаменту имущества города Москвы обеспечить в установленном порядке расторжение договорных отношений (аренда, хозяйственное ведение, оперативное управление, безвозмездное пользование) с пользователями нежилых помещений сносимых строений </w:t>
      </w:r>
      <w:hyperlink w:anchor="Par48" w:history="1">
        <w:r>
          <w:rPr>
            <w:rFonts w:ascii="Calibri" w:hAnsi="Calibri" w:cs="Calibri"/>
            <w:color w:val="0000FF"/>
          </w:rPr>
          <w:t>(п. 8.5)</w:t>
        </w:r>
      </w:hyperlink>
      <w:r>
        <w:rPr>
          <w:rFonts w:ascii="Calibri" w:hAnsi="Calibri" w:cs="Calibri"/>
        </w:rPr>
        <w:t>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Установить, что проектирование и строительство инженерных сетей и сооружений, включая городские, обеспечивающих строительство объектов </w:t>
      </w:r>
      <w:hyperlink w:anchor="Par18" w:history="1">
        <w:r>
          <w:rPr>
            <w:rFonts w:ascii="Calibri" w:hAnsi="Calibri" w:cs="Calibri"/>
            <w:color w:val="0000FF"/>
          </w:rPr>
          <w:t>(п. 1)</w:t>
        </w:r>
      </w:hyperlink>
      <w:r>
        <w:rPr>
          <w:rFonts w:ascii="Calibri" w:hAnsi="Calibri" w:cs="Calibri"/>
        </w:rPr>
        <w:t>, осуществляется инвестором за счет собственных средств без последующей компенсации.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Департаменту имущества города Москвы после завершения строительства внести в Реестр объектов недвижимости, находящихся в собственности города Москвы, нежилые помещения, являющиеся городской долей.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13.10.2009 N 1087-ПП.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Контроль за выполнением настоящего распоряжения возложить на префекта Южного административного округа города Москвы </w:t>
      </w:r>
      <w:proofErr w:type="spellStart"/>
      <w:r>
        <w:rPr>
          <w:rFonts w:ascii="Calibri" w:hAnsi="Calibri" w:cs="Calibri"/>
        </w:rPr>
        <w:t>Смолеевского</w:t>
      </w:r>
      <w:proofErr w:type="spellEnd"/>
      <w:r>
        <w:rPr>
          <w:rFonts w:ascii="Calibri" w:hAnsi="Calibri" w:cs="Calibri"/>
        </w:rPr>
        <w:t xml:space="preserve"> Г.В. и заместителя Мэра Москвы в Правительстве Москвы по вопросам градостроительной политики и строительства </w:t>
      </w:r>
      <w:proofErr w:type="spellStart"/>
      <w:r>
        <w:rPr>
          <w:rFonts w:ascii="Calibri" w:hAnsi="Calibri" w:cs="Calibri"/>
        </w:rPr>
        <w:t>Хуснуллина</w:t>
      </w:r>
      <w:proofErr w:type="spellEnd"/>
      <w:r>
        <w:rPr>
          <w:rFonts w:ascii="Calibri" w:hAnsi="Calibri" w:cs="Calibri"/>
        </w:rPr>
        <w:t xml:space="preserve"> М.Ш.</w:t>
      </w:r>
    </w:p>
    <w:p w:rsidR="00206E80" w:rsidRDefault="00206E8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1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Москвы от 06.12.2011 N 946-РП)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06E80" w:rsidRDefault="00206E8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206E80" w:rsidRDefault="00206E8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06E80" w:rsidRDefault="00206E8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06E80" w:rsidRDefault="00206E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9D7D7D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80"/>
    <w:rsid w:val="00010FA7"/>
    <w:rsid w:val="000217EF"/>
    <w:rsid w:val="00097BC1"/>
    <w:rsid w:val="000B6FC6"/>
    <w:rsid w:val="001E2801"/>
    <w:rsid w:val="00206E80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37843-268C-41A5-9AD4-D9FE957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70ACD4AF445BF35F8D54886E7B172FCA841F40FB6D0CE971270B4342DB2447442F845474546B248l4F8K" TargetMode="External"/><Relationship Id="rId13" Type="http://schemas.openxmlformats.org/officeDocument/2006/relationships/hyperlink" Target="consultantplus://offline/ref=7D370ACD4AF445BF35F8D54886E7B172FCAC44F000BADB939D1A29B836l2F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70ACD4AF445BF35F8D54886E7B172FCA840F005BAD3CE971270B4342DB2447442F845474546B248l4F9K" TargetMode="External"/><Relationship Id="rId12" Type="http://schemas.openxmlformats.org/officeDocument/2006/relationships/hyperlink" Target="consultantplus://offline/ref=7D370ACD4AF445BF35F8D54886E7B172FCA841F40FB6D0CE971270B4342DB2447442F845474546B248l4F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370ACD4AF445BF35F8D54886E7B172FCA841F40FB6D0CE971270B4342DB2447442F845474546B249l4F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70ACD4AF445BF35F8D54886E7B172FCA843F605B4D7CE971270B4342DB2447442F845474546B248l4F8K" TargetMode="External"/><Relationship Id="rId11" Type="http://schemas.openxmlformats.org/officeDocument/2006/relationships/hyperlink" Target="consultantplus://offline/ref=7D370ACD4AF445BF35F8D54886E7B172FCA840F005BAD3CE971270B4342DB2447442F845474546B248l4F7K" TargetMode="External"/><Relationship Id="rId5" Type="http://schemas.openxmlformats.org/officeDocument/2006/relationships/hyperlink" Target="consultantplus://offline/ref=7D370ACD4AF445BF35F8D54886E7B172FCA841FC07B7D9CE971270B4342DB2447442F845474546B24Al4FAK" TargetMode="External"/><Relationship Id="rId15" Type="http://schemas.openxmlformats.org/officeDocument/2006/relationships/hyperlink" Target="consultantplus://offline/ref=7D370ACD4AF445BF35F8D54886E7B172FCA841FC07B7D9CE971270B4342DB2447442F845474546B24Al4FAK" TargetMode="External"/><Relationship Id="rId10" Type="http://schemas.openxmlformats.org/officeDocument/2006/relationships/hyperlink" Target="consultantplus://offline/ref=7D370ACD4AF445BF35F8D54886E7B172FCA841F40FB6D0CE971270B4342DB2447442F845474546B248l4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70ACD4AF445BF35F8D54886E7B172FCAC44FC07B1DB939D1A29B836l2FAK" TargetMode="External"/><Relationship Id="rId14" Type="http://schemas.openxmlformats.org/officeDocument/2006/relationships/hyperlink" Target="consultantplus://offline/ref=7D370ACD4AF445BF35F8D54886E7B172FCA840F005BAD3CE971270B4342DB2447442F845474546B248l4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1474</Words>
  <Characters>8402</Characters>
  <Application>Microsoft Office Word</Application>
  <DocSecurity>0</DocSecurity>
  <Lines>70</Lines>
  <Paragraphs>19</Paragraphs>
  <ScaleCrop>false</ScaleCrop>
  <Company>коллегия адвокатов "Московский Юридический Центр"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2015-07-04T10:05:00Z</dcterms:created>
  <dcterms:modified xsi:type="dcterms:W3CDTF">2015-07-04T10:06:00Z</dcterms:modified>
</cp:coreProperties>
</file>