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4C" w:rsidRDefault="00DE514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DE514C" w:rsidRDefault="00DE514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Введены в действие</w:t>
      </w:r>
    </w:p>
    <w:p w:rsidR="00DE514C" w:rsidRDefault="00DE514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ГУ ГПС МВД РФ</w:t>
      </w:r>
    </w:p>
    <w:p w:rsidR="00DE514C" w:rsidRDefault="00DE514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августа 1995 г. N 22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НОРМЫ ГОСУДАРСТВЕННОЙ ПРОТИВОПОЖАРНОЙ</w:t>
      </w: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СЛУЖБЫ МВД РОССИИ</w:t>
      </w: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ПРОЕКТИРОВАНИЕ СИСТЕМ ОПОВЕЩЕНИЯ ЛЮДЕЙ О ПОЖАРЕ</w:t>
      </w: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ЗДАНИЯХ И СООРУЖЕНИЯХ</w:t>
      </w: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НПБ 104-95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Разработаны, внесены и подготовлены к утверждению нормативно-техническим отделом ГУ ГПС МВД России.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Утверждены Главным государственным инспектором Российской Федерации по пожарному надзору.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в действие: 1 октября 1995 г.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Согласовано с Минстроем России (письмо N 13/351 от 01.08.1995 г.).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Вводятся впервые.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нормы устанавливают общий порядок проектирования систем оповещения (СО) людей о пожаре в зданиях и сооружениях.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СО в зданиях и сооружениях следует также руководствоваться другими нормативными документами.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1. Общие требования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Оповещение людей о пожаре должно осуществляться: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подачей звуковых и (или) световых сигналов во все помещения здания с постоянным или временным пребыванием людей;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трансляцией речевой информации о необходимости эвакуации, путях эвакуации и других действиях, направленных на обеспечение безопасности.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Управление эвакуацией должно осуществляться: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включением эвакуационного освещения;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передачей по СО специально разработанных текстов, направленных на предотвращение паники и других явлений, усложняющих процесс эвакуации (скопление людей в проходах и т.п.);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трансляцией текстов, содержащих информацию о необходимом направлении движения;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включением световых указателей направления эвакуации;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дистанционным открыванием дверей дополнительных эвакуационных выходов (например, оборудованных электромагнитными замками).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СО должна включать в себя составной частью систему автоматической пожарной защиты (АПЗ) в здании, выполняющей задачу обнаружения пожара и формирование управленческих сигналов для СО.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Количество оповещателей, их расстановка и мощность должны обеспечивать необходимую слышимость во всех местах постоянного или временного пребывания людей.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Оповещатели не должны иметь регуляторов громкости и должны подключаться к сети без разъемных устройств.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Сигналы оповещения должны отличаться от сигналов другого назначения.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Коммуникации СО допускается проектировать совмещенными с радиотрансляционной сетью здания.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Требования к электроснабжению, заземлению, занулению, выбору и прокладке сетей оповещения следует принимать по аналогии с автоматической пожарной сигнализацией по </w:t>
      </w:r>
      <w:hyperlink r:id="rId5" w:history="1">
        <w:r>
          <w:rPr>
            <w:rFonts w:ascii="Calibri" w:hAnsi="Calibri" w:cs="Calibri"/>
            <w:color w:val="0000FF"/>
          </w:rPr>
          <w:t>СНиП 2.04.09-84</w:t>
        </w:r>
      </w:hyperlink>
      <w:r>
        <w:rPr>
          <w:rFonts w:ascii="Calibri" w:hAnsi="Calibri" w:cs="Calibri"/>
        </w:rPr>
        <w:t>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Управление системой оповещения должно осуществляться из помещения пожарного поста, диспетчерской или другого специального помещения, отвечающего требованиям, изложенным в </w:t>
      </w:r>
      <w:hyperlink r:id="rId6" w:history="1">
        <w:r>
          <w:rPr>
            <w:rFonts w:ascii="Calibri" w:hAnsi="Calibri" w:cs="Calibri"/>
            <w:color w:val="0000FF"/>
          </w:rPr>
          <w:t>СНиП 2.04.09-84</w:t>
        </w:r>
      </w:hyperlink>
      <w:r>
        <w:rPr>
          <w:rFonts w:ascii="Calibri" w:hAnsi="Calibri" w:cs="Calibri"/>
        </w:rPr>
        <w:t>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2. Классификация систем оповещения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Нормами предусмотрено 5 типов систем оповещения людей о пожаре, классифицирующихся по параметрам, приведенным в таблице 1.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┌──┬─────────────────────────────────────────┬───────────────────┐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N</w:t>
      </w: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  Характеристика систем оповещения о    │ Наличие указанных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  пожаре                  │  характеристик у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                          │различных типов СО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                          ├───┬───┬───┬───┬───┤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                          │ 1 │ 2 │ 3 │ 4 │ 5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├──┼─────────────────────────────────────────┴───┴───┴───┴───┴───┤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 │                    Способы оповещения:          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├─────────────────────────────────────────┬───┬───┬───┬───┬───┤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│- звуковой (звонки, тонированный сигнал 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и др.)                                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│- речевой (запись и передача спецтекстов)│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│─────────────────────────────────────────┴───┴───┴───┴───┴───┤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световой                                       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├─────────────────────────────────────────┬───┬───┬───┬───┬───┤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│а) световой мигающий сигнал             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│б) светоуказатели "Выход"               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│в) светоуказатели направления движения  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│г) светоуказатели направления движения с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│включением раздельно для каждой зоны   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│2 │Связь зоны оповещения с диспетчерской   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├──┼─────────────────────────────────────────┴───┴───┴───┴───┴───┤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│3 │                  Очередность оповещения:        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├─────────────────────────────────────────┬───┬───┬───┬───┬───┤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│- всех одновременно                     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│- только в одном помещении (части здания)│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├─────────────────────────────────────────┼───┼───┼───┼───┼───┤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  │- сначала обслуживающий персонал, а затем│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0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*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│всех остальных по специально разработан-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│ной очередности                        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├──┼─────────────────────────────────────────┼───┼───┼───┼───┼───┤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│4 │Полная автоматизация управления СО и воз-│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91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-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</w:t>
      </w:r>
      <w:hyperlink w:anchor="Par89" w:history="1">
        <w:r w:rsidRPr="00DE514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+</w:t>
        </w:r>
      </w:hyperlink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│можность реализации множества вариантов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│организаций эвакуации из каждой зоны   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│оповещения                               │   │   │   │   │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└──┴─────────────────────────────────────────┴───┴───┴───┴───┴───┘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" w:name="Par89"/>
      <w:bookmarkEnd w:id="3"/>
      <w:r>
        <w:rPr>
          <w:rFonts w:ascii="Calibri" w:hAnsi="Calibri" w:cs="Calibri"/>
        </w:rPr>
        <w:t>Примечание. + - требуется;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90"/>
      <w:bookmarkEnd w:id="4"/>
      <w:r>
        <w:rPr>
          <w:rFonts w:ascii="Calibri" w:hAnsi="Calibri" w:cs="Calibri"/>
        </w:rPr>
        <w:t>* - рекомендуется;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5" w:name="Par91"/>
      <w:bookmarkEnd w:id="5"/>
      <w:r>
        <w:rPr>
          <w:rFonts w:ascii="Calibri" w:hAnsi="Calibri" w:cs="Calibri"/>
        </w:rPr>
        <w:t>- - не требуется.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93"/>
      <w:bookmarkEnd w:id="6"/>
      <w:r>
        <w:rPr>
          <w:rFonts w:ascii="Calibri" w:hAnsi="Calibri" w:cs="Calibri"/>
        </w:rPr>
        <w:t>3. Определение типов систем оповещения для зданий</w:t>
      </w:r>
    </w:p>
    <w:p w:rsidR="00DE514C" w:rsidRDefault="00DE51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сооружений различного назначения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Требуемый тип системы оповещения для проектируемого здания определяется по таблице 2.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Таблица 2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┌──┬───────────────┬───────────┬───────┬────────────┬────────────┐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N</w:t>
      </w: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│  Тип здания,  │Нормативный│ Число │   Типы СО  │ Примечания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сооружения   │показатель │этажей ├──┬──┬─┬──┬─┤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│(Наименование  │           │       │1 │2 │3│4 │5│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нормативного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показателя)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├──┼───────────────┼───────────┼───────┼──┴──┴─┴──┴─┼────────────┤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 │      2        │     3     │   4   │     5      │     6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├──┼───────────────┼───────────┼───────┼──┬──┬─┬──┬─┼────────────┤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 │Предприятия    │  до 800   │   1   │* │  │ │  │ │Помещения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│бытового обслу-│ 800 - 1000│   2   │  │* │ │  │ │площадью бо-│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lastRenderedPageBreak/>
        <w:t>│  │живания, банки │1000 - 2500│ 3 - 6 │  │  │*│  │ │лее 200 м2,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│(площадь пожар-│           │  &gt; 6  │  │  │ │* │*│размещаемые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│ного отсека, м2│           │       │  │  │ │  │ │в составе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├──┼───────────────┼───────────┼───────┼──┼──┼─┼──┼─┤торговых и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│2 │Парикмахерские,│  до 300   │       │* │  │ │  │ │общественных│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│мастерские по  │ более 300 │       │  │ *│ │  │ │центров или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│ремонту и т.п.,│           │       │  │  │ │  │ │общественных│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│размещаемые в  │           │       │  │  │ │  │ │зданиях дру-│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│общественных   │           │       │  │  │ │  │ │гого назна-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│зданиях (пло-  │           │       │  │  │ │  │ │чения, рас-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│щадь, м2)      │           │       │  │  │ │  │ │сматривают-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├──┼───────────────┼───────────┼───────┼──┴──┴─┴──┴─┤ся как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│3 │Предприятия    │   до 50   │ 1 - 2 │  Не треб.  │самостоя-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│общественного  │           │       ├──┬──┬─┬──┬─┤тельная зона│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│питания (вмес- │   до 50   │  &gt; 2  │* │  │ │  │ │оповещения.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│тимость, чело- │ 50 - 200  │     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│век)           │ более 200 │       │  │  │*│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│разм. в подвале│    -      │     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│(цок.)      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│4 │Здания бань и  │  до 20    │       │* │  │ │  │ │Встроенные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│банно-оздорови-│20 и более │       │  │* │ │  │ │бани (сауны)│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│тельных комп-  │           │       │  │  │ │  │ │рассматрива-│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│лексов (кол-во │           │       │  │  │ │  │ │ются как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│мест)          │           │       │  │  │ │  │ │самостоя-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│тельные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│зоны.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│5 │Здания торговых│  до 500   │   1   │ *│  │ │  │ │Торговые за-│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│предприятий    │500 - 3500 │   2   │  │* │ │  │ │лы площадью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│(маг-ны, рынки)│более 3500 │ 3 - 5 │  │  │*│  │ │более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│(площадь пожар-│  без ес.  │       │  │  │*│  │ │100 м2 в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│ного отсека,   │   осв.    │       │  │  │ │  │ │зданиях ино-│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│м2)            │           │       │  │  │ │  │ │го назначе-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торговые залы│           │       │  │  │ │  │ │ния рассмат-│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│риваются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│как само-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│стоятельные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│зоны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│6 │Дошкольные уч- │  до 100   │   1   │* │  │ │  │ │В дошкольных│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│реждения (число│ 100 - 150 │   2   │  │* │ │  │ │учреждениях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│мест)          │ 151 - 350 │ 2 - 3 │  │  │*│  │ │оповещается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специальные  │     -     │   -   │  │* │ │  │ │только слу-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│детские учрежд.│           │       │  │  │ │  │ │жебный пер-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│сонал. При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├──┼───────────────┼───────────┼───────┼──┼──┼─┼──┼─┤размещении в│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│7 │Школы и учебные│  до 270   │   1   │* │  │ │  │ │одном здании│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│корпуса школ-  │270 - 350  │   2   │  │* │ │  │ │дошкольных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│интернатов     │351 - 1600 │   3   │  │  │*│  │ │учреждений и│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│(кол-во мест в │более 1600 │  &gt; 3  │  │  │ │* │*│начальной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│здании, чело-  │           │       │  │  │ │  │ │школы (или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│век)           │           │       │  │  │ │  │ │жилых поме-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│щений для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│Спец. школы и  │           │       │  │  │*│  │ │персонала)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│школы-интернаты│           │       │  │  │ │  │ │общей вмес-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│тимостью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│Спальные корпу-│  до 100   │   1   │* │  │ │  │ │более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│са школ-интер- │ 101 - 200 │   3   │  │* │ │  │ │50 чел., вы-│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│натов и др.    │ более 200 │ 2 - 4 │  │  │*│  │ │деляются в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│детских домов  │           │       │  │  │ │  │ │самостоя-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│(кол-во мест в │           │       │  │  │ │  │ │тельные зоны│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│здании)        │           │       │  │  │ │  │ │оповещения.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│В школе опо-│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│вещается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│сначала пер-│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│сонал, затем│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│учащиеся.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│8 │Учебные корпуса│           │  &lt; 4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lastRenderedPageBreak/>
        <w:t>│  │средних специ- │           │ 4 - 9 │  │  │*│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│альных и высших│           │  &gt; 9  │  │  │ │* │*│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│уч. заведений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│9 │Зрелищные      │  до 300   │   1   │* │  │ │  │ │Помещения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│учреждения     │ 300 - 800 │   2   │  │* │ │  │ │аудиторий,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│(театры, цирки │ более 800 │ 2 - 3 │  │  │*│  │ │актовых за-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│и др.)         │           │       │  │  │ │  │ │лов собраний│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круглогодич. │           │       │  │  │ │  │ │и др. заль-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│действия       │           │       │  │  │ │  │ │ных помеще-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│(наибольшая    │           │       │  │  │ │  │ │ний с числом│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│вместимость за-│           │       │  │  │ │  │ │мест более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│ла)            │           │       │  │  │ │  │ │300, а также│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│выше 6-го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сезонного    │           │       │  │  │ │  │ │этажа, с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│действия       │           │       │  │  │ │  │ │числом мест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│а) закрытые    │ до 600    │   1   │* │  │ │  │ │менее 300,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│более 600  │   1   │  │* │ │  │ │рассматрива-│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│б) открытые    │ до 800    │   1   │* │  │ │  │ │ются как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│более 800  │   1   │  │* │ │  │ │самостоя-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клубы        │  до 400   │   2   │* │  │ │  │ │тельные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401 - 600 │   3   │  │* │ │  │ │зоны опове-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более 600 │  &gt; 3  │  │  │*│  │ │щения.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│10│Здания и откры-│  до 200   │  &lt; 3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│тые спортивные │200 - 1000 │  &gt; 3  │  │  │*│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│сооружения     │более 1000 │       │  │  │ │* │*│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│(кол-во мест)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│11│Лечебные учреж-│   до 60   │       │  │* │ │  │ │Помещения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│дения (кол-во  │ более 60  │       │  │  │*│  │ │лечебных,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│койкомест)     │           │       │  │  │ │  │ │амбулаторно-│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│психиатрические│     -     │       │  │  │*│  │ │поликлини-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│боль-цы        │           │       │  │  │ │  │ │ческих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│амбулаторно-   │   до 90   │       │  │* │ │  │ │учреждений и│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│поликлинические│ более 90  │       │  │  │*│  │ │аптек, рас-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│учреждения     │           │       │  │  │ │  │ │положенных в│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│(посещения в   │           │       │  │  │ │  │ │зданиях ино-│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│смену)         │           │       │  │  │ │  │ │го назначе-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│ния, рассма-│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│триваются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│как самос-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│тоятельные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│зоны.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│12│Здания санато- │           │  &lt; 9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│риев, учрежде- │           │  &gt; 9  │  │  │*│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│ния отдыха и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│туризма     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при наличии в│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│спальных корпу-│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│сах пищеблоков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│и помещений 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│культурно-мас- │           │       │  │  │ │* │*│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│сового назн.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│13│Детские оздоро-│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│вительные лаге-│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│ря          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круглогодич- │           │     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│ного действия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летние       │           │       │*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</w:t>
      </w:r>
      <w:r>
        <w:rPr>
          <w:rFonts w:ascii="Courier New" w:hAnsi="Courier New" w:cs="Courier New"/>
          <w:sz w:val="20"/>
          <w:szCs w:val="20"/>
        </w:rPr>
        <w:t>IV</w:t>
      </w: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- </w:t>
      </w:r>
      <w:r>
        <w:rPr>
          <w:rFonts w:ascii="Courier New" w:hAnsi="Courier New" w:cs="Courier New"/>
          <w:sz w:val="20"/>
          <w:szCs w:val="20"/>
        </w:rPr>
        <w:t>V</w:t>
      </w:r>
      <w:r w:rsidRPr="00DE514C">
        <w:rPr>
          <w:rFonts w:ascii="Courier New" w:hAnsi="Courier New" w:cs="Courier New"/>
          <w:sz w:val="20"/>
          <w:szCs w:val="20"/>
          <w:lang w:val="ru-RU"/>
        </w:rPr>
        <w:t xml:space="preserve"> СО   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│14│Здания библио- │           │       │  │*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│тек и архивов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при наличии  │           │       │  │  │*│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│читальных залов│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│(более 50 ч)   │           │       │  │  │ │  │ │       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│- хранилища    │           │       │*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│(книгохр.)     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│15│Здания управле-│           │  &lt; 6  │  │*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│ний, проектных │           │6 - 16 │  │  │*│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│институтов, НИИ│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│и др. админи-  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│стративных     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│зданий         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│16│Здания музеев и│  до 500   │  &lt; 3  │  │*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│выставок (число│500 - 1000 │  &gt; 3  │  │  │*│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│посетителей)   │более 1000 │       │  │  │ │* │*│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│17│Вокзалы        │           │   1   │  │*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      │           │  &gt; 1  │  │  │*│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│18│Здания гости-  │  до 50    │  &lt; 3  │  │*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│ниц, общежитий │   50      │ 3 - 9 │  │  │*│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│и кемпингов    │           │  &gt; 9  │  │  │ │* │*│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│(вмес-сть чело-│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│век)           │           │       │  │  │ │  │ │        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├──┼───────────────┼───────────┼───────┼──┴──┴─┴──┴─┼────────────┤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│19│Жилые здания:  │           │  &lt; 10 │  не треб.  │Допускается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│- секционного  │           │       ├──┬──┬─┬──┬─┤использова-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│типа           │           │       │  │  │ │  │ │ние пожарных│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│- коридорного  │           │10 - 25│* │  │ │  │ │извещателей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│типа           │           │  &lt; 10 │  │* │ │  │ │автономного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      │           │10 - 25│  │  │*│  │ │действия.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├──┼───────────────┼───────────┼───────┼──┼──┼─┼──┼─┼────────────┤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│20│Производствен- │А, Б, В, Г,│   1   │* │  │ │  │ │1 тип СО    │</w:t>
      </w:r>
    </w:p>
    <w:p w:rsid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│ные здания и   │    Д      │       │  │  │ │  │ │допускается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│сооружения     │   А, Б    │ 2 - 6 │  │  │*│  │ │совмещать с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│(категория про-│     В     │ 2 - 8 │  │* │ │  │ │селекторной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│изводства)     │   Г, Д    │ 2 - 10│  │* │ │  │ │связью. 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│Территории     │           │       │  │  │ │  │ │СО зданий с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│взрыво-пожарных│           │       │  │  │ │  │ │категорией А│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│объектов (про- │           │       │  │  │ │  │ │и Б должны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│изводства,     │           │       │  │  │ │  │ │быть сблоки-│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│склады, базы и │           │       │  │  │*│  │ │рованы с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│т.п.)          │           │       │  │  │ │  │ │технологи-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│ческой или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│пожарной    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│  │               │           │       │  │  │ │  │ │автоматикой.│</w:t>
      </w:r>
    </w:p>
    <w:p w:rsidR="00DE514C" w:rsidRPr="00DE514C" w:rsidRDefault="00DE514C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DE514C">
        <w:rPr>
          <w:rFonts w:ascii="Courier New" w:hAnsi="Courier New" w:cs="Courier New"/>
          <w:sz w:val="20"/>
          <w:szCs w:val="20"/>
          <w:lang w:val="ru-RU"/>
        </w:rPr>
        <w:t>└──┴───────────────┴───────────┴───────┴──┴──┴─┴──┴─┴────────────┘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1. На объектах, где в соответствии с </w:t>
      </w:r>
      <w:hyperlink w:anchor="Par98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требуется оборудование здания СО 4-го или 5-го типа, окончательное решение по выбору СО принимается проектной организацией.</w:t>
      </w:r>
    </w:p>
    <w:p w:rsidR="00DE514C" w:rsidRDefault="00DE514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помещениях и зданиях, где находятся (работают, проживают, проводят досуг) люди с физическими недостатками (слепые, глухие), система оповещения должна учитывать эти особенности.</w:t>
      </w: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E514C" w:rsidRDefault="00DE51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DE0CDA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4C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E514C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84C8-D953-4827-9325-65A9E248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DE51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DE51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DE51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DE51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5EBB6FFC658CA3BF19CFD06E24C3A98BDF7F7C4E93B745238C438uAX5V" TargetMode="External"/><Relationship Id="rId5" Type="http://schemas.openxmlformats.org/officeDocument/2006/relationships/hyperlink" Target="consultantplus://offline/ref=08D5EBB6FFC658CA3BF19CFD06E24C3A98BDF7F7C4E93B745238C438uAX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3104</Words>
  <Characters>17699</Characters>
  <Application>Microsoft Office Word</Application>
  <DocSecurity>0</DocSecurity>
  <Lines>147</Lines>
  <Paragraphs>41</Paragraphs>
  <ScaleCrop>false</ScaleCrop>
  <Company>коллегия адвокатов "Московский Юридический Центр"</Company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2015-07-04T21:23:00Z</dcterms:created>
  <dcterms:modified xsi:type="dcterms:W3CDTF">2015-07-04T21:24:00Z</dcterms:modified>
</cp:coreProperties>
</file>