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D6" w:rsidRDefault="007604D6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7604D6" w:rsidRDefault="007604D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7604D6" w:rsidRDefault="007604D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МЧС России</w:t>
      </w:r>
    </w:p>
    <w:p w:rsidR="007604D6" w:rsidRDefault="007604D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марта 2009 г. N 176</w:t>
      </w:r>
    </w:p>
    <w:p w:rsidR="007604D6" w:rsidRDefault="007604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7604D6" w:rsidRDefault="007604D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Дата введения:</w:t>
      </w:r>
    </w:p>
    <w:p w:rsidR="007604D6" w:rsidRDefault="007604D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 мая 2009 года</w:t>
      </w:r>
    </w:p>
    <w:p w:rsidR="007604D6" w:rsidRDefault="007604D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7604D6" w:rsidRDefault="007604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СВОД ПРАВИЛ</w:t>
      </w:r>
    </w:p>
    <w:p w:rsidR="007604D6" w:rsidRDefault="007604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604D6" w:rsidRDefault="007604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СИСТЕМЫ ПРОТИВОПОЖАРНОЙ ЗАЩИТЫ</w:t>
      </w:r>
    </w:p>
    <w:p w:rsidR="007604D6" w:rsidRDefault="007604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604D6" w:rsidRPr="007604D6" w:rsidRDefault="007604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</w:rPr>
        <w:t>ЭЛЕКТРООБОРУДОВАНИЕ</w:t>
      </w:r>
    </w:p>
    <w:p w:rsidR="007604D6" w:rsidRPr="007604D6" w:rsidRDefault="007604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</w:p>
    <w:p w:rsidR="007604D6" w:rsidRPr="007604D6" w:rsidRDefault="007604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</w:rPr>
        <w:t>ТРЕБОВАНИЯ</w:t>
      </w:r>
      <w:r w:rsidRPr="007604D6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</w:rPr>
        <w:t>ПОЖАРНОЙ</w:t>
      </w:r>
      <w:r w:rsidRPr="007604D6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</w:rPr>
        <w:t>БЕЗОПАСНОСТИ</w:t>
      </w:r>
    </w:p>
    <w:p w:rsidR="007604D6" w:rsidRPr="007604D6" w:rsidRDefault="007604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</w:p>
    <w:p w:rsidR="007604D6" w:rsidRPr="007604D6" w:rsidRDefault="007604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  <w:r w:rsidRPr="007604D6">
        <w:rPr>
          <w:rFonts w:ascii="Calibri" w:hAnsi="Calibri" w:cs="Calibri"/>
          <w:b/>
          <w:bCs/>
          <w:lang w:val="en-US"/>
        </w:rPr>
        <w:t>SYSTEMS OF FIRE PROTECTION ELECTRICAL EQUIPMENT.</w:t>
      </w:r>
    </w:p>
    <w:p w:rsidR="007604D6" w:rsidRPr="007604D6" w:rsidRDefault="007604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  <w:r w:rsidRPr="007604D6">
        <w:rPr>
          <w:rFonts w:ascii="Calibri" w:hAnsi="Calibri" w:cs="Calibri"/>
          <w:b/>
          <w:bCs/>
          <w:lang w:val="en-US"/>
        </w:rPr>
        <w:t>REQUIREMENTS OF FIRE SAFETY</w:t>
      </w:r>
    </w:p>
    <w:p w:rsidR="007604D6" w:rsidRPr="007604D6" w:rsidRDefault="007604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</w:p>
    <w:p w:rsidR="007604D6" w:rsidRDefault="007604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 6.13130.2009</w:t>
      </w:r>
    </w:p>
    <w:p w:rsidR="007604D6" w:rsidRDefault="007604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7604D6" w:rsidRDefault="007604D6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Предисловие</w:t>
      </w:r>
    </w:p>
    <w:p w:rsidR="007604D6" w:rsidRDefault="007604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Цели и принципы стандартизации в Российской Федерации установлены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декабря 2002 г. N 184-ФЗ "О техническом регулировании", а правила применения сводов правил -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"О порядке разработки и утверждения сводов правил" от 19 ноября 2008 г. N 858.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604D6" w:rsidRDefault="007604D6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2" w:name="Par25"/>
      <w:bookmarkEnd w:id="2"/>
      <w:r>
        <w:rPr>
          <w:rFonts w:ascii="Calibri" w:hAnsi="Calibri" w:cs="Calibri"/>
        </w:rPr>
        <w:t>Сведения о своде правил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Разработан ФГУ ВНИИПО МЧС России.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Внесен Техническим комитетом по стандартизации ТК 274 "Пожарная безопасность".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Утвержден и введен в действие Приказом МЧС России от 25 марта 2009 г. N 176.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Зарегистрирован Федеральным агентством по техническому регулированию и метрологии.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Введен впервые.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изменениях к настоящему своду правил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свода правил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разработчика (ФГУ ВНИИПО МЧС России) в сети Интернет.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604D6" w:rsidRDefault="007604D6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1. Область применения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Настоящий свод правил разработан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4 статьи 143</w:t>
        </w:r>
      </w:hyperlink>
      <w:r>
        <w:rPr>
          <w:rFonts w:ascii="Calibri" w:hAnsi="Calibri" w:cs="Calibri"/>
        </w:rPr>
        <w:t xml:space="preserve"> Федерального закона от 22 июля 2008 г. N 123-ФЗ "Технический регламент о требованиях пожарной безопасности", является нормативным документом по пожарной безопасности в области стандартизации добровольного применения и устанавливает требования пожарной безопасности к электрооборудованию систем противопожарной защиты зданий, сооружений и строений (далее - здания).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Настоящий свод правил может быть использован при разработке специальных технических условий на проектирование и строительство зданий.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604D6" w:rsidRDefault="007604D6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4" w:name="Par40"/>
      <w:bookmarkEnd w:id="4"/>
      <w:r>
        <w:rPr>
          <w:rFonts w:ascii="Calibri" w:hAnsi="Calibri" w:cs="Calibri"/>
        </w:rPr>
        <w:t>2. Нормативные ссылки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своде правил использованы нормативные ссылки на следующие стандарты: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ГОСТ Р МЭК 60332-3-22-2005. Испытания электрических и оптических кабелей в условиях воздействия пламени. Часть 3 - 22. Распространение пламени по вертикально расположенным пучкам проводов или </w:t>
      </w:r>
      <w:r>
        <w:rPr>
          <w:rFonts w:ascii="Calibri" w:hAnsi="Calibri" w:cs="Calibri"/>
        </w:rPr>
        <w:lastRenderedPageBreak/>
        <w:t>кабелей. Категория А.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Р 53316-2009. Электрические щиты и кабельные линии. Сохранение работоспособности в условиях пожара. Методы испытаний.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 - При пользовании настоящим сводом правил целесообразно проверить действие ссылочных стандартов, сводов правил и классификаторов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стандарт заменен (изменен), то при пользовании настоящим сводом правил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604D6" w:rsidRDefault="007604D6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5" w:name="Par47"/>
      <w:bookmarkEnd w:id="5"/>
      <w:r>
        <w:rPr>
          <w:rFonts w:ascii="Calibri" w:hAnsi="Calibri" w:cs="Calibri"/>
        </w:rPr>
        <w:t>3. Термины и определения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своде правил применены следующие термины с соответствующими определениями: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Электрооборудование систем противопожарной защиты: совокупность электротехнических устройств, предназначенных для функционирования систем противопожарной защиты.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Приемник электрической энергии (</w:t>
      </w:r>
      <w:proofErr w:type="spellStart"/>
      <w:r>
        <w:rPr>
          <w:rFonts w:ascii="Calibri" w:hAnsi="Calibri" w:cs="Calibri"/>
        </w:rPr>
        <w:t>электроприемник</w:t>
      </w:r>
      <w:proofErr w:type="spellEnd"/>
      <w:r>
        <w:rPr>
          <w:rFonts w:ascii="Calibri" w:hAnsi="Calibri" w:cs="Calibri"/>
        </w:rPr>
        <w:t>): аппарат, агрегат и др., предназначенные для преобразования электрической энергии в другой вид энергии.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604D6" w:rsidRDefault="007604D6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6" w:name="Par53"/>
      <w:bookmarkEnd w:id="6"/>
      <w:r>
        <w:rPr>
          <w:rFonts w:ascii="Calibri" w:hAnsi="Calibri" w:cs="Calibri"/>
        </w:rPr>
        <w:t>4. Требования пожарной безопасности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Кабельные линии систем противопожарной защиты должны выполняться огнестойкими кабелями с медными жилами, не распространяющими горение при групповой прокладке по категории А по ГОСТ Р МЭК 60332-3-22 с низким </w:t>
      </w:r>
      <w:proofErr w:type="spellStart"/>
      <w:r>
        <w:rPr>
          <w:rFonts w:ascii="Calibri" w:hAnsi="Calibri" w:cs="Calibri"/>
        </w:rPr>
        <w:t>дымо</w:t>
      </w:r>
      <w:proofErr w:type="spellEnd"/>
      <w:r>
        <w:rPr>
          <w:rFonts w:ascii="Calibri" w:hAnsi="Calibri" w:cs="Calibri"/>
        </w:rPr>
        <w:t xml:space="preserve">- и </w:t>
      </w:r>
      <w:proofErr w:type="spellStart"/>
      <w:r>
        <w:rPr>
          <w:rFonts w:ascii="Calibri" w:hAnsi="Calibri" w:cs="Calibri"/>
        </w:rPr>
        <w:t>газовыделением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нг</w:t>
      </w:r>
      <w:proofErr w:type="spellEnd"/>
      <w:r>
        <w:rPr>
          <w:rFonts w:ascii="Calibri" w:hAnsi="Calibri" w:cs="Calibri"/>
        </w:rPr>
        <w:t>-LSFR) или не содержащими галогенов (</w:t>
      </w:r>
      <w:proofErr w:type="spellStart"/>
      <w:r>
        <w:rPr>
          <w:rFonts w:ascii="Calibri" w:hAnsi="Calibri" w:cs="Calibri"/>
        </w:rPr>
        <w:t>нг</w:t>
      </w:r>
      <w:proofErr w:type="spellEnd"/>
      <w:r>
        <w:rPr>
          <w:rFonts w:ascii="Calibri" w:hAnsi="Calibri" w:cs="Calibri"/>
        </w:rPr>
        <w:t>-HFFR).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В отношении обеспечения надежности электроснабжения </w:t>
      </w:r>
      <w:proofErr w:type="spellStart"/>
      <w:r>
        <w:rPr>
          <w:rFonts w:ascii="Calibri" w:hAnsi="Calibri" w:cs="Calibri"/>
        </w:rPr>
        <w:t>электроприемники</w:t>
      </w:r>
      <w:proofErr w:type="spellEnd"/>
      <w:r>
        <w:rPr>
          <w:rFonts w:ascii="Calibri" w:hAnsi="Calibri" w:cs="Calibri"/>
        </w:rPr>
        <w:t xml:space="preserve"> СПЗ должны относиться к </w:t>
      </w:r>
      <w:proofErr w:type="spellStart"/>
      <w:r>
        <w:rPr>
          <w:rFonts w:ascii="Calibri" w:hAnsi="Calibri" w:cs="Calibri"/>
        </w:rPr>
        <w:t>электроприемникам</w:t>
      </w:r>
      <w:proofErr w:type="spellEnd"/>
      <w:r>
        <w:rPr>
          <w:rFonts w:ascii="Calibri" w:hAnsi="Calibri" w:cs="Calibri"/>
        </w:rPr>
        <w:t xml:space="preserve"> I категории надежности электроснабжения, за исключением электродвигателей компрессоров, насосов дренажного и подкачки пенообразователя, относящихся к III категории надежности электроснабжения, а также случаев, указанных в </w:t>
      </w:r>
      <w:hyperlink w:anchor="Par57" w:history="1">
        <w:r>
          <w:rPr>
            <w:rFonts w:ascii="Calibri" w:hAnsi="Calibri" w:cs="Calibri"/>
            <w:color w:val="0000FF"/>
          </w:rPr>
          <w:t>4.3</w:t>
        </w:r>
      </w:hyperlink>
      <w:r>
        <w:rPr>
          <w:rFonts w:ascii="Calibri" w:hAnsi="Calibri" w:cs="Calibri"/>
        </w:rPr>
        <w:t xml:space="preserve">, </w:t>
      </w:r>
      <w:hyperlink w:anchor="Par61" w:history="1">
        <w:r>
          <w:rPr>
            <w:rFonts w:ascii="Calibri" w:hAnsi="Calibri" w:cs="Calibri"/>
            <w:color w:val="0000FF"/>
          </w:rPr>
          <w:t>4.4</w:t>
        </w:r>
      </w:hyperlink>
      <w:r>
        <w:rPr>
          <w:rFonts w:ascii="Calibri" w:hAnsi="Calibri" w:cs="Calibri"/>
        </w:rPr>
        <w:t>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7" w:name="Par57"/>
      <w:bookmarkEnd w:id="7"/>
      <w:r>
        <w:rPr>
          <w:rFonts w:ascii="Calibri" w:hAnsi="Calibri" w:cs="Calibri"/>
        </w:rPr>
        <w:t xml:space="preserve">4.3. При наличии одного источника электропитания (на объектах III категории надежности электроснабжения) допускается использовать в качестве резервного источника питания </w:t>
      </w:r>
      <w:proofErr w:type="spellStart"/>
      <w:r>
        <w:rPr>
          <w:rFonts w:ascii="Calibri" w:hAnsi="Calibri" w:cs="Calibri"/>
        </w:rPr>
        <w:t>электроприемников</w:t>
      </w:r>
      <w:proofErr w:type="spellEnd"/>
      <w:r>
        <w:rPr>
          <w:rFonts w:ascii="Calibri" w:hAnsi="Calibri" w:cs="Calibri"/>
        </w:rPr>
        <w:t xml:space="preserve"> автоматических установок пожаротушения и систем пожарной сигнализации аккумуляторные батареи или блоки бесперебойного питания, которые должны обеспечивать питание указанных </w:t>
      </w:r>
      <w:proofErr w:type="spellStart"/>
      <w:r>
        <w:rPr>
          <w:rFonts w:ascii="Calibri" w:hAnsi="Calibri" w:cs="Calibri"/>
        </w:rPr>
        <w:t>электроприемников</w:t>
      </w:r>
      <w:proofErr w:type="spellEnd"/>
      <w:r>
        <w:rPr>
          <w:rFonts w:ascii="Calibri" w:hAnsi="Calibri" w:cs="Calibri"/>
        </w:rPr>
        <w:t xml:space="preserve"> в дежурном режиме в течение 24 ч плюс 3 ч работы системы пожарной автоматики в тревожном режиме.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 - Время работы системы пожарной автоматики в тревожном режиме может быть сокращено до 1,3 времени выполнения задач системой пожарной автоматики.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аккумулятора в качестве источника питания должен быть обеспечен режим подзарядки аккумулятора.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8" w:name="Par61"/>
      <w:bookmarkEnd w:id="8"/>
      <w:r>
        <w:rPr>
          <w:rFonts w:ascii="Calibri" w:hAnsi="Calibri" w:cs="Calibri"/>
        </w:rPr>
        <w:t xml:space="preserve">4.4. При отсутствии по местным условиям возможности осуществлять питание </w:t>
      </w:r>
      <w:proofErr w:type="spellStart"/>
      <w:r>
        <w:rPr>
          <w:rFonts w:ascii="Calibri" w:hAnsi="Calibri" w:cs="Calibri"/>
        </w:rPr>
        <w:t>электроприемников</w:t>
      </w:r>
      <w:proofErr w:type="spellEnd"/>
      <w:r>
        <w:rPr>
          <w:rFonts w:ascii="Calibri" w:hAnsi="Calibri" w:cs="Calibri"/>
        </w:rPr>
        <w:t xml:space="preserve"> автоматических установок пожаротушения и систем пожарной сигнализации от двух независимых источников допускается осуществлять их питание от одного источника - от разных трансформаторов </w:t>
      </w:r>
      <w:proofErr w:type="spellStart"/>
      <w:r>
        <w:rPr>
          <w:rFonts w:ascii="Calibri" w:hAnsi="Calibri" w:cs="Calibri"/>
        </w:rPr>
        <w:t>двухтрансформаторной</w:t>
      </w:r>
      <w:proofErr w:type="spellEnd"/>
      <w:r>
        <w:rPr>
          <w:rFonts w:ascii="Calibri" w:hAnsi="Calibri" w:cs="Calibri"/>
        </w:rPr>
        <w:t xml:space="preserve"> подстанции или от двух близлежащих </w:t>
      </w:r>
      <w:proofErr w:type="spellStart"/>
      <w:r>
        <w:rPr>
          <w:rFonts w:ascii="Calibri" w:hAnsi="Calibri" w:cs="Calibri"/>
        </w:rPr>
        <w:t>однотрансформаторных</w:t>
      </w:r>
      <w:proofErr w:type="spellEnd"/>
      <w:r>
        <w:rPr>
          <w:rFonts w:ascii="Calibri" w:hAnsi="Calibri" w:cs="Calibri"/>
        </w:rPr>
        <w:t xml:space="preserve"> подстанций, подключенных к разным питающим линиям, проложенным по разным трассам, с устройством автоматического ввода резерва, как правило, на стороне низкого напряжения.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9" w:name="Par62"/>
      <w:bookmarkEnd w:id="9"/>
      <w:r>
        <w:rPr>
          <w:rFonts w:ascii="Calibri" w:hAnsi="Calibri" w:cs="Calibri"/>
        </w:rPr>
        <w:t>4.5. Кабельные линии систем противопожарной защиты должны сохранять работоспособность в условиях пожара в течение времени, необходимого для функционирования конкретных систем защищаемого объекта.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0" w:name="Par63"/>
      <w:bookmarkEnd w:id="10"/>
      <w:r>
        <w:rPr>
          <w:rFonts w:ascii="Calibri" w:hAnsi="Calibri" w:cs="Calibri"/>
        </w:rPr>
        <w:t>4.6. Кабельные линии систем оповещения и управления эвакуацией (СОУЭ) и пожарной сигнализации, участвующие в обеспечении эвакуации людей при пожаре, должны сохранять работоспособность в условиях пожара в течение времени, необходимого для полной эвакуации людей в безопасную зону.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4.7. Питание </w:t>
      </w:r>
      <w:proofErr w:type="spellStart"/>
      <w:r>
        <w:rPr>
          <w:rFonts w:ascii="Calibri" w:hAnsi="Calibri" w:cs="Calibri"/>
        </w:rPr>
        <w:t>электроприемников</w:t>
      </w:r>
      <w:proofErr w:type="spellEnd"/>
      <w:r>
        <w:rPr>
          <w:rFonts w:ascii="Calibri" w:hAnsi="Calibri" w:cs="Calibri"/>
        </w:rPr>
        <w:t xml:space="preserve"> систем противопожарной защиты должно осуществляться от самостоятельного вводно-распределительного устройства (ВРУ), расположенного в каждом пожарном отсеке с устройством автоматического включения резерва (АВР), имеющего отличительную окраску.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4.8. Для </w:t>
      </w:r>
      <w:proofErr w:type="spellStart"/>
      <w:r>
        <w:rPr>
          <w:rFonts w:ascii="Calibri" w:hAnsi="Calibri" w:cs="Calibri"/>
        </w:rPr>
        <w:t>электроприемников</w:t>
      </w:r>
      <w:proofErr w:type="spellEnd"/>
      <w:r>
        <w:rPr>
          <w:rFonts w:ascii="Calibri" w:hAnsi="Calibri" w:cs="Calibri"/>
        </w:rPr>
        <w:t xml:space="preserve"> автоматических установок пожаротушения I категории надежности электроснабжения, имеющих включаемый автоматически технологический резерв (при наличии одного рабочего и одного резервного насосов), устройство АВР не требуется.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4.9. В установках </w:t>
      </w:r>
      <w:proofErr w:type="spellStart"/>
      <w:r>
        <w:rPr>
          <w:rFonts w:ascii="Calibri" w:hAnsi="Calibri" w:cs="Calibri"/>
        </w:rPr>
        <w:t>водопенного</w:t>
      </w:r>
      <w:proofErr w:type="spellEnd"/>
      <w:r>
        <w:rPr>
          <w:rFonts w:ascii="Calibri" w:hAnsi="Calibri" w:cs="Calibri"/>
        </w:rPr>
        <w:t xml:space="preserve"> пожаротушения в качестве резервного питания допускается применение </w:t>
      </w:r>
      <w:r>
        <w:rPr>
          <w:rFonts w:ascii="Calibri" w:hAnsi="Calibri" w:cs="Calibri"/>
        </w:rPr>
        <w:lastRenderedPageBreak/>
        <w:t>дизельных электростанций.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4.10. В случае питания </w:t>
      </w:r>
      <w:proofErr w:type="spellStart"/>
      <w:r>
        <w:rPr>
          <w:rFonts w:ascii="Calibri" w:hAnsi="Calibri" w:cs="Calibri"/>
        </w:rPr>
        <w:t>электроприемников</w:t>
      </w:r>
      <w:proofErr w:type="spellEnd"/>
      <w:r>
        <w:rPr>
          <w:rFonts w:ascii="Calibri" w:hAnsi="Calibri" w:cs="Calibri"/>
        </w:rPr>
        <w:t xml:space="preserve"> автоматических установок пожаротушения и системы пожарной сигнализации от резервного ввода допускается при необходимости обеспечивать электропитание указанных </w:t>
      </w:r>
      <w:proofErr w:type="spellStart"/>
      <w:r>
        <w:rPr>
          <w:rFonts w:ascii="Calibri" w:hAnsi="Calibri" w:cs="Calibri"/>
        </w:rPr>
        <w:t>электроприемников</w:t>
      </w:r>
      <w:proofErr w:type="spellEnd"/>
      <w:r>
        <w:rPr>
          <w:rFonts w:ascii="Calibri" w:hAnsi="Calibri" w:cs="Calibri"/>
        </w:rPr>
        <w:t xml:space="preserve"> за счет отключения на объекте </w:t>
      </w:r>
      <w:proofErr w:type="spellStart"/>
      <w:r>
        <w:rPr>
          <w:rFonts w:ascii="Calibri" w:hAnsi="Calibri" w:cs="Calibri"/>
        </w:rPr>
        <w:t>электроприемников</w:t>
      </w:r>
      <w:proofErr w:type="spellEnd"/>
      <w:r>
        <w:rPr>
          <w:rFonts w:ascii="Calibri" w:hAnsi="Calibri" w:cs="Calibri"/>
        </w:rPr>
        <w:t xml:space="preserve"> II и III категории надежности электроснабжения.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4.11. Не допускается устройство тепловой и максимальной защиты в цепях управления автоматическими установками пожаротушения, отключение которых может привести к отказу подачи огнетушащего вещества к очагу пожара.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4.12. Распределительные линии питания </w:t>
      </w:r>
      <w:proofErr w:type="spellStart"/>
      <w:r>
        <w:rPr>
          <w:rFonts w:ascii="Calibri" w:hAnsi="Calibri" w:cs="Calibri"/>
        </w:rPr>
        <w:t>электроприемников</w:t>
      </w:r>
      <w:proofErr w:type="spellEnd"/>
      <w:r>
        <w:rPr>
          <w:rFonts w:ascii="Calibri" w:hAnsi="Calibri" w:cs="Calibri"/>
        </w:rPr>
        <w:t xml:space="preserve"> систем противопожарной защиты должны быть самостоятельными для каждого </w:t>
      </w:r>
      <w:proofErr w:type="spellStart"/>
      <w:r>
        <w:rPr>
          <w:rFonts w:ascii="Calibri" w:hAnsi="Calibri" w:cs="Calibri"/>
        </w:rPr>
        <w:t>электроприемника</w:t>
      </w:r>
      <w:proofErr w:type="spellEnd"/>
      <w:r>
        <w:rPr>
          <w:rFonts w:ascii="Calibri" w:hAnsi="Calibri" w:cs="Calibri"/>
        </w:rPr>
        <w:t xml:space="preserve">, начиная от щита противопожарных устройств ВРУ. Допускается выполнять распределительные линии питания </w:t>
      </w:r>
      <w:proofErr w:type="spellStart"/>
      <w:r>
        <w:rPr>
          <w:rFonts w:ascii="Calibri" w:hAnsi="Calibri" w:cs="Calibri"/>
        </w:rPr>
        <w:t>электроприемников</w:t>
      </w:r>
      <w:proofErr w:type="spellEnd"/>
      <w:r>
        <w:rPr>
          <w:rFonts w:ascii="Calibri" w:hAnsi="Calibri" w:cs="Calibri"/>
        </w:rPr>
        <w:t xml:space="preserve"> систем противопожарной защиты для каждого </w:t>
      </w:r>
      <w:proofErr w:type="spellStart"/>
      <w:r>
        <w:rPr>
          <w:rFonts w:ascii="Calibri" w:hAnsi="Calibri" w:cs="Calibri"/>
        </w:rPr>
        <w:t>электроприемника</w:t>
      </w:r>
      <w:proofErr w:type="spellEnd"/>
      <w:r>
        <w:rPr>
          <w:rFonts w:ascii="Calibri" w:hAnsi="Calibri" w:cs="Calibri"/>
        </w:rPr>
        <w:t xml:space="preserve"> от групповых щитов противопожарных устройств при условии, что эти щиты должны сохранять работоспособность в условиях пожара в течение времени, необходимого для функционирования систем противопожарной защиты, в соответствии с </w:t>
      </w:r>
      <w:hyperlink w:anchor="Par62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4.5</w:t>
        </w:r>
      </w:hyperlink>
      <w:r>
        <w:rPr>
          <w:rFonts w:ascii="Calibri" w:hAnsi="Calibri" w:cs="Calibri"/>
        </w:rPr>
        <w:t xml:space="preserve">, </w:t>
      </w:r>
      <w:hyperlink w:anchor="Par63" w:history="1">
        <w:r>
          <w:rPr>
            <w:rFonts w:ascii="Calibri" w:hAnsi="Calibri" w:cs="Calibri"/>
            <w:color w:val="0000FF"/>
          </w:rPr>
          <w:t>4.6</w:t>
        </w:r>
      </w:hyperlink>
      <w:r>
        <w:rPr>
          <w:rFonts w:ascii="Calibri" w:hAnsi="Calibri" w:cs="Calibri"/>
        </w:rPr>
        <w:t>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4.13. Не допускается совместная прокладка кабельных линий систем противопожарной защиты с другими кабелями и проводами в одном коробе, трубе, жгуте, замкнутом канале строительной конструкции или на одном лотке.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4.14. Запрещается установка устройств защитного отключения (УЗО) в цепях питания </w:t>
      </w:r>
      <w:proofErr w:type="spellStart"/>
      <w:r>
        <w:rPr>
          <w:rFonts w:ascii="Calibri" w:hAnsi="Calibri" w:cs="Calibri"/>
        </w:rPr>
        <w:t>электроприемников</w:t>
      </w:r>
      <w:proofErr w:type="spellEnd"/>
      <w:r>
        <w:rPr>
          <w:rFonts w:ascii="Calibri" w:hAnsi="Calibri" w:cs="Calibri"/>
        </w:rPr>
        <w:t xml:space="preserve"> систем противопожарной защиты.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4.15. Время сохранения работоспособности кабельных линий и электрических щитов определяется по ГОСТ Р 53316.</w:t>
      </w: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604D6" w:rsidRDefault="007604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604D6" w:rsidRDefault="007604D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0217EF" w:rsidRDefault="000217EF"/>
    <w:sectPr w:rsidR="000217EF" w:rsidSect="005C05D2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D6"/>
    <w:rsid w:val="00010FA7"/>
    <w:rsid w:val="000217EF"/>
    <w:rsid w:val="00097BC1"/>
    <w:rsid w:val="000B6FC6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76566"/>
    <w:rsid w:val="006537D2"/>
    <w:rsid w:val="006C166A"/>
    <w:rsid w:val="007604D6"/>
    <w:rsid w:val="007F6D83"/>
    <w:rsid w:val="007F6E9A"/>
    <w:rsid w:val="008356A5"/>
    <w:rsid w:val="008D558B"/>
    <w:rsid w:val="00C257FD"/>
    <w:rsid w:val="00DF3D0B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12683-2EB7-4C4D-B022-D829BC2D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2C70D05431F7AF2021995BCCD9D2DD6AF3D27507BC4E340331080E268A56F73A09CBB1955ADDBNCn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02C70D05431F7AF2021995BCCD9D2DDFAD3620517999E9486A1C82NEn5L" TargetMode="External"/><Relationship Id="rId5" Type="http://schemas.openxmlformats.org/officeDocument/2006/relationships/hyperlink" Target="consultantplus://offline/ref=9F02C70D05431F7AF2021995BCCD9D2DD6A836245071C4E340331080E268A56F73A09CBB1954AAD4NCn9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1331</Words>
  <Characters>7591</Characters>
  <Application>Microsoft Office Word</Application>
  <DocSecurity>0</DocSecurity>
  <Lines>63</Lines>
  <Paragraphs>17</Paragraphs>
  <ScaleCrop>false</ScaleCrop>
  <Company>коллегия адвокатов "Московский Юридический Центр"</Company>
  <LinksUpToDate>false</LinksUpToDate>
  <CharactersWithSpaces>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1</cp:revision>
  <dcterms:created xsi:type="dcterms:W3CDTF">2015-05-25T11:39:00Z</dcterms:created>
  <dcterms:modified xsi:type="dcterms:W3CDTF">2015-05-25T11:39:00Z</dcterms:modified>
</cp:coreProperties>
</file>